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7C" w:rsidRDefault="005D6559" w:rsidP="00C4667C">
      <w:pPr>
        <w:ind w:left="0" w:firstLine="0"/>
        <w:rPr>
          <w:noProof/>
        </w:rPr>
      </w:pPr>
      <w:r>
        <w:rPr>
          <w:noProof/>
        </w:rPr>
        <w:drawing>
          <wp:inline distT="0" distB="0" distL="0" distR="0">
            <wp:extent cx="6898519" cy="948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 ДВО каз.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04226" cy="9494749"/>
                    </a:xfrm>
                    <a:prstGeom prst="rect">
                      <a:avLst/>
                    </a:prstGeom>
                  </pic:spPr>
                </pic:pic>
              </a:graphicData>
            </a:graphic>
          </wp:inline>
        </w:drawing>
      </w:r>
    </w:p>
    <w:p w:rsidR="00C4667C" w:rsidRDefault="00236C0A" w:rsidP="00C4667C">
      <w:pPr>
        <w:autoSpaceDE w:val="0"/>
        <w:autoSpaceDN w:val="0"/>
        <w:adjustRightInd w:val="0"/>
        <w:jc w:val="right"/>
        <w:rPr>
          <w:szCs w:val="28"/>
        </w:rPr>
      </w:pPr>
      <w:r>
        <w:rPr>
          <w:szCs w:val="28"/>
        </w:rPr>
        <w:lastRenderedPageBreak/>
        <w:t>Н</w:t>
      </w:r>
      <w:r w:rsidR="00C4667C">
        <w:rPr>
          <w:szCs w:val="28"/>
        </w:rPr>
        <w:t xml:space="preserve">. 4-100 </w:t>
      </w:r>
    </w:p>
    <w:p w:rsidR="00C4667C" w:rsidRDefault="00C4667C" w:rsidP="00C4667C">
      <w:pPr>
        <w:autoSpaceDE w:val="0"/>
        <w:autoSpaceDN w:val="0"/>
        <w:adjustRightInd w:val="0"/>
        <w:jc w:val="right"/>
        <w:rPr>
          <w:szCs w:val="28"/>
        </w:rPr>
      </w:pPr>
    </w:p>
    <w:p w:rsidR="00C4667C" w:rsidRDefault="00C4667C" w:rsidP="00236C0A">
      <w:pPr>
        <w:autoSpaceDE w:val="0"/>
        <w:autoSpaceDN w:val="0"/>
        <w:adjustRightInd w:val="0"/>
        <w:ind w:firstLine="16"/>
        <w:rPr>
          <w:b/>
          <w:szCs w:val="28"/>
        </w:rPr>
      </w:pPr>
      <w:r>
        <w:rPr>
          <w:b/>
          <w:szCs w:val="28"/>
        </w:rPr>
        <w:t xml:space="preserve">1 </w:t>
      </w:r>
      <w:r w:rsidR="00236C0A" w:rsidRPr="00236C0A">
        <w:rPr>
          <w:b/>
          <w:szCs w:val="28"/>
        </w:rPr>
        <w:t>ББ іске асырылуын талдау</w:t>
      </w:r>
    </w:p>
    <w:p w:rsidR="00236C0A" w:rsidRDefault="00236C0A" w:rsidP="00236C0A">
      <w:pPr>
        <w:ind w:left="0" w:firstLine="993"/>
        <w:rPr>
          <w:szCs w:val="28"/>
        </w:rPr>
      </w:pPr>
      <w:r w:rsidRPr="00236C0A">
        <w:rPr>
          <w:szCs w:val="28"/>
        </w:rPr>
        <w:t xml:space="preserve">1.1 </w:t>
      </w:r>
      <w:r>
        <w:rPr>
          <w:szCs w:val="28"/>
        </w:rPr>
        <w:t>Б</w:t>
      </w:r>
      <w:r w:rsidRPr="00236C0A">
        <w:rPr>
          <w:szCs w:val="28"/>
        </w:rPr>
        <w:t>ілім беру бағдарламасы туралы мәліметтер</w:t>
      </w:r>
    </w:p>
    <w:p w:rsidR="00236C0A" w:rsidRDefault="00236C0A" w:rsidP="00C4667C">
      <w:pPr>
        <w:ind w:left="0" w:firstLine="708"/>
        <w:rPr>
          <w:szCs w:val="28"/>
        </w:rPr>
      </w:pPr>
    </w:p>
    <w:p w:rsidR="00236C0A" w:rsidRDefault="00236C0A" w:rsidP="00C4667C">
      <w:pPr>
        <w:pStyle w:val="a4"/>
        <w:widowControl w:val="0"/>
        <w:spacing w:after="0"/>
        <w:ind w:left="0" w:firstLine="709"/>
        <w:rPr>
          <w:color w:val="000000"/>
          <w:sz w:val="28"/>
          <w:szCs w:val="28"/>
          <w:lang w:eastAsia="ru-RU"/>
        </w:rPr>
      </w:pPr>
      <w:r>
        <w:rPr>
          <w:color w:val="000000"/>
          <w:sz w:val="28"/>
          <w:szCs w:val="28"/>
          <w:lang w:val="kk-KZ" w:eastAsia="ru-RU"/>
        </w:rPr>
        <w:t>«</w:t>
      </w:r>
      <w:r w:rsidRPr="00236C0A">
        <w:rPr>
          <w:color w:val="000000"/>
          <w:sz w:val="28"/>
          <w:szCs w:val="28"/>
          <w:lang w:eastAsia="ru-RU"/>
        </w:rPr>
        <w:t>7</w:t>
      </w:r>
      <w:r>
        <w:rPr>
          <w:color w:val="000000"/>
          <w:sz w:val="28"/>
          <w:szCs w:val="28"/>
          <w:lang w:eastAsia="ru-RU"/>
        </w:rPr>
        <w:t>М</w:t>
      </w:r>
      <w:r w:rsidRPr="00236C0A">
        <w:rPr>
          <w:color w:val="000000"/>
          <w:sz w:val="28"/>
          <w:szCs w:val="28"/>
          <w:lang w:eastAsia="ru-RU"/>
        </w:rPr>
        <w:t>01211 – мектепке дейінгі тәрбие мен оқыту педагогикасы "</w:t>
      </w:r>
      <w:r w:rsidR="00912448">
        <w:rPr>
          <w:color w:val="000000"/>
          <w:sz w:val="28"/>
          <w:szCs w:val="28"/>
          <w:lang w:val="kk-KZ" w:eastAsia="ru-RU"/>
        </w:rPr>
        <w:t>Б</w:t>
      </w:r>
      <w:r w:rsidRPr="00236C0A">
        <w:rPr>
          <w:color w:val="000000"/>
          <w:sz w:val="28"/>
          <w:szCs w:val="28"/>
          <w:lang w:eastAsia="ru-RU"/>
        </w:rPr>
        <w:t>ілім беру бағдарламасы модульдік қағидатқа құрылған, ECTS біліктілік шеңберін ескере отырып, Дублин дескрипторларында негізделген құзыреттер мен оқыту нәтижелерінен тұрады. ЖОО-да кредиттік оқыту жүйесі толық енгізілген және жұмыс істейді. Бағдарламаларды әзірлеу кезінде ECTS несие жүйесі қолданылады. Толық көлемде өткен бағдарлама ECTS жүйесі мен Болон процесіне сәйкес келетін 120 несие береді.</w:t>
      </w:r>
    </w:p>
    <w:p w:rsidR="00912448" w:rsidRPr="00912448" w:rsidRDefault="00912448" w:rsidP="00912448">
      <w:pPr>
        <w:ind w:left="0" w:firstLine="708"/>
        <w:rPr>
          <w:szCs w:val="28"/>
          <w:lang w:eastAsia="en-US"/>
        </w:rPr>
      </w:pPr>
      <w:r>
        <w:rPr>
          <w:szCs w:val="28"/>
          <w:lang w:val="kk-KZ" w:eastAsia="en-US"/>
        </w:rPr>
        <w:t>МБББ</w:t>
      </w:r>
      <w:r w:rsidRPr="00912448">
        <w:rPr>
          <w:szCs w:val="28"/>
          <w:lang w:eastAsia="en-US"/>
        </w:rPr>
        <w:t xml:space="preserve"> мазмұны пәндердің екі циклын қамтиды: базалық (Б</w:t>
      </w:r>
      <w:r>
        <w:rPr>
          <w:szCs w:val="28"/>
          <w:lang w:val="kk-KZ" w:eastAsia="en-US"/>
        </w:rPr>
        <w:t>П</w:t>
      </w:r>
      <w:r w:rsidRPr="00912448">
        <w:rPr>
          <w:szCs w:val="28"/>
          <w:lang w:eastAsia="en-US"/>
        </w:rPr>
        <w:t>) және бейіндеуші (</w:t>
      </w:r>
      <w:r>
        <w:rPr>
          <w:szCs w:val="28"/>
          <w:lang w:val="kk-KZ" w:eastAsia="en-US"/>
        </w:rPr>
        <w:t>БП</w:t>
      </w:r>
      <w:r w:rsidRPr="00912448">
        <w:rPr>
          <w:szCs w:val="28"/>
          <w:lang w:eastAsia="en-US"/>
        </w:rPr>
        <w:t>). Әрбір цикл жоғары оқу орны компоненті пәндерінен және білім алушылардың таңдауы бойынша пәндерден тұрады.</w:t>
      </w:r>
    </w:p>
    <w:p w:rsidR="00912448" w:rsidRPr="00912448" w:rsidRDefault="00912448" w:rsidP="00912448">
      <w:pPr>
        <w:ind w:left="0" w:firstLine="708"/>
        <w:rPr>
          <w:szCs w:val="28"/>
          <w:lang w:eastAsia="en-US"/>
        </w:rPr>
      </w:pPr>
      <w:r w:rsidRPr="00912448">
        <w:rPr>
          <w:szCs w:val="28"/>
          <w:lang w:eastAsia="en-US"/>
        </w:rPr>
        <w:t xml:space="preserve">Жоғары оқу орны компонентінің пәндерін оқудың мақсаты мамандық бойынша білім алушылардың іргелі дайындығын қамтамасыз ету, еңбек нарығы конъюнктурасының өзгеруі кезінде түлектердің әлеуметтік қорғалуын қамтамасыз ететін </w:t>
      </w:r>
      <w:r>
        <w:rPr>
          <w:szCs w:val="28"/>
          <w:lang w:val="kk-KZ" w:eastAsia="en-US"/>
        </w:rPr>
        <w:t>«</w:t>
      </w:r>
      <w:r w:rsidRPr="00912448">
        <w:rPr>
          <w:szCs w:val="28"/>
          <w:lang w:eastAsia="en-US"/>
        </w:rPr>
        <w:t>өмір бойы білім алу</w:t>
      </w:r>
      <w:r>
        <w:rPr>
          <w:szCs w:val="28"/>
          <w:lang w:val="kk-KZ" w:eastAsia="en-US"/>
        </w:rPr>
        <w:t>»</w:t>
      </w:r>
      <w:r w:rsidRPr="00912448">
        <w:rPr>
          <w:szCs w:val="28"/>
          <w:lang w:eastAsia="en-US"/>
        </w:rPr>
        <w:t xml:space="preserve"> үшін мүмкіндік жасау болып табылады.</w:t>
      </w:r>
    </w:p>
    <w:p w:rsidR="00912448" w:rsidRPr="00912448" w:rsidRDefault="00912448" w:rsidP="00912448">
      <w:pPr>
        <w:ind w:left="0" w:firstLine="708"/>
        <w:rPr>
          <w:szCs w:val="28"/>
          <w:lang w:eastAsia="en-US"/>
        </w:rPr>
      </w:pPr>
      <w:r w:rsidRPr="00912448">
        <w:rPr>
          <w:szCs w:val="28"/>
          <w:lang w:eastAsia="en-US"/>
        </w:rPr>
        <w:t>Таңдау компоненті әлеуметтік-экономикалық даму ерекшелігі мен өңірдің қажеттілігін, қалыптасқан ғылыми мектептің және білім алушының жеке мүдделерін ескере отырып, білім алушының жеке дайындық мүмкіндігін анықтайтын пәндерді таңдауды қамтамасыз етеді.</w:t>
      </w:r>
    </w:p>
    <w:p w:rsidR="00912448" w:rsidRPr="00912448" w:rsidRDefault="00912448" w:rsidP="00912448">
      <w:pPr>
        <w:ind w:left="0" w:firstLine="708"/>
        <w:rPr>
          <w:szCs w:val="28"/>
          <w:lang w:eastAsia="en-US"/>
        </w:rPr>
      </w:pPr>
      <w:r>
        <w:rPr>
          <w:szCs w:val="28"/>
          <w:lang w:val="kk-KZ" w:eastAsia="en-US"/>
        </w:rPr>
        <w:t>БП</w:t>
      </w:r>
      <w:r w:rsidRPr="00912448">
        <w:rPr>
          <w:szCs w:val="28"/>
          <w:lang w:eastAsia="en-US"/>
        </w:rPr>
        <w:t>-ны оқытудың мақсаты мектепке дейінгі білім беру саласындағы кәсіби білім берудің іргетасы ретінде шығармашылық әлеуетті, бастамашылық пен жаңашылдықты дамыту үшін жағдай жасау, тереңдетілген білімді, психологиялық-педагогикалық сипатты қамтамасыз ету болып табылады.</w:t>
      </w:r>
    </w:p>
    <w:p w:rsidR="00912448" w:rsidRPr="00912448" w:rsidRDefault="00912448" w:rsidP="00912448">
      <w:pPr>
        <w:ind w:left="0" w:firstLine="708"/>
        <w:rPr>
          <w:szCs w:val="28"/>
          <w:lang w:eastAsia="en-US"/>
        </w:rPr>
      </w:pPr>
      <w:r>
        <w:rPr>
          <w:szCs w:val="28"/>
          <w:lang w:val="kk-KZ" w:eastAsia="en-US"/>
        </w:rPr>
        <w:t>БП</w:t>
      </w:r>
      <w:r w:rsidRPr="00912448">
        <w:rPr>
          <w:szCs w:val="28"/>
          <w:lang w:eastAsia="en-US"/>
        </w:rPr>
        <w:t xml:space="preserve"> бойынша оқытудың мақсаты мектепке дейінгі білім беру саласында терең теориялық білім мен практикалық тәжірибені қамтамасыз ету, еңбек нарығында магистранттардың бәсекеге қабілеттілігін қалыптастыру, мамандық бойынша барынша тез жұмысқа орналасу мүмкіндігін қамтамасыз ету болып табылады.</w:t>
      </w:r>
    </w:p>
    <w:p w:rsidR="00912448" w:rsidRPr="00912448" w:rsidRDefault="00912448" w:rsidP="00912448">
      <w:pPr>
        <w:ind w:left="0" w:firstLine="708"/>
        <w:rPr>
          <w:szCs w:val="28"/>
          <w:lang w:eastAsia="en-US"/>
        </w:rPr>
      </w:pPr>
      <w:r w:rsidRPr="00912448">
        <w:rPr>
          <w:szCs w:val="28"/>
          <w:lang w:eastAsia="en-US"/>
        </w:rPr>
        <w:t>Павлодар педагогикалық университетінің білім алушылары білім беру бағдарламаларының негізгі тұтынушылары болып табылады, сондықтан оқу процесінің сапасын қамтамасыз етуде бірінші кезекте олардың мүдделері ескеріледі.</w:t>
      </w:r>
    </w:p>
    <w:p w:rsidR="00912448" w:rsidRPr="00912448" w:rsidRDefault="00912448" w:rsidP="00912448">
      <w:pPr>
        <w:ind w:left="0" w:firstLine="708"/>
        <w:rPr>
          <w:szCs w:val="28"/>
          <w:lang w:eastAsia="en-US"/>
        </w:rPr>
      </w:pPr>
      <w:r w:rsidRPr="00912448">
        <w:rPr>
          <w:szCs w:val="28"/>
          <w:lang w:eastAsia="en-US"/>
        </w:rPr>
        <w:t>Пәндерді таныстыру және таңдау және олардың жеке траекториясын қалыптастыру үшін білім алушылардың эдвайзерлермен кездесулері ұйымдастырылады. Таңдау кезінде магистрант үлгілік оқу жоспарын, элективті пәндер каталогын, эдвайзердің ұсынымдарын басшылыққа алады.</w:t>
      </w:r>
    </w:p>
    <w:p w:rsidR="00912448" w:rsidRDefault="00912448" w:rsidP="00912448">
      <w:pPr>
        <w:ind w:left="0" w:firstLine="708"/>
        <w:rPr>
          <w:szCs w:val="28"/>
          <w:lang w:eastAsia="en-US"/>
        </w:rPr>
      </w:pPr>
      <w:r w:rsidRPr="00912448">
        <w:rPr>
          <w:szCs w:val="28"/>
          <w:lang w:eastAsia="en-US"/>
        </w:rPr>
        <w:t>Білім беру бағдарламалары білім алушылар оларға кәсіби табыс әкелетін құзыреттерге ие болатындай етіп әзірленген. Білім алушылардың әр түрлі топтарының қажеттіліктерін қанағаттандыру мақсатында ББ-ға болашақ еңбек қызметі барысында қажетті элективті пәндер енгізілді.</w:t>
      </w:r>
    </w:p>
    <w:p w:rsidR="00912448" w:rsidRPr="00912448" w:rsidRDefault="00912448" w:rsidP="00912448">
      <w:pPr>
        <w:pStyle w:val="a4"/>
        <w:spacing w:after="0"/>
        <w:ind w:left="0" w:firstLine="709"/>
        <w:rPr>
          <w:color w:val="000000"/>
          <w:sz w:val="28"/>
          <w:szCs w:val="28"/>
          <w:lang w:eastAsia="ru-RU"/>
        </w:rPr>
      </w:pPr>
      <w:r w:rsidRPr="00912448">
        <w:rPr>
          <w:color w:val="000000"/>
          <w:sz w:val="28"/>
          <w:szCs w:val="28"/>
          <w:lang w:eastAsia="ru-RU"/>
        </w:rPr>
        <w:lastRenderedPageBreak/>
        <w:t>ББ-да білім алушыларды болашақ кәсіби қызметке дайындауға арналған және жалпы мәдени, жалпы кәсіптік және арнайы құзыреттерді, зияткерлік және академиялық дағдыларды қалыптастыратын компоненттер көзделген.</w:t>
      </w:r>
    </w:p>
    <w:p w:rsidR="00912448" w:rsidRPr="00912448" w:rsidRDefault="00912448" w:rsidP="00912448">
      <w:pPr>
        <w:pStyle w:val="a4"/>
        <w:spacing w:after="0"/>
        <w:ind w:left="0" w:firstLine="709"/>
        <w:rPr>
          <w:color w:val="000000"/>
          <w:sz w:val="28"/>
          <w:szCs w:val="28"/>
          <w:lang w:eastAsia="ru-RU"/>
        </w:rPr>
      </w:pPr>
      <w:r w:rsidRPr="00912448">
        <w:rPr>
          <w:color w:val="000000"/>
          <w:sz w:val="28"/>
          <w:szCs w:val="28"/>
          <w:lang w:eastAsia="ru-RU"/>
        </w:rPr>
        <w:t>ББ әзірлеу сапасын бағалаудың маңызды факторы шетелдік әріптес жоғары оқу орындарымен ынтымақтастық туралы шарттардың болуы болып табылады. Университет басшылығы шетелдік жоғары оқу орындарымен бірлескен жұмыстың жұмыс істеуіне қолайлы жағдай жасайды. Соңғы 3 жылда университет ынтымақтастық туралы, білім алушылардың тағылымдамадан өтуі туралы, ғылыми алмасу туралы шетелдік жоғары оқу орындарымен оннан астам келісімдер, шарттар жасасты.</w:t>
      </w:r>
    </w:p>
    <w:p w:rsidR="00912448" w:rsidRPr="00912448" w:rsidRDefault="00324E75" w:rsidP="00912448">
      <w:pPr>
        <w:pStyle w:val="a4"/>
        <w:spacing w:after="0"/>
        <w:ind w:left="0" w:firstLine="709"/>
        <w:rPr>
          <w:color w:val="000000"/>
          <w:sz w:val="28"/>
          <w:szCs w:val="28"/>
          <w:lang w:eastAsia="ru-RU"/>
        </w:rPr>
      </w:pPr>
      <w:r>
        <w:rPr>
          <w:color w:val="000000"/>
          <w:sz w:val="28"/>
          <w:szCs w:val="28"/>
          <w:lang w:eastAsia="ru-RU"/>
        </w:rPr>
        <w:t>"7</w:t>
      </w:r>
      <w:r>
        <w:rPr>
          <w:color w:val="000000"/>
          <w:sz w:val="28"/>
          <w:szCs w:val="28"/>
          <w:lang w:val="kk-KZ" w:eastAsia="ru-RU"/>
        </w:rPr>
        <w:t>М</w:t>
      </w:r>
      <w:bookmarkStart w:id="0" w:name="_GoBack"/>
      <w:bookmarkEnd w:id="0"/>
      <w:r w:rsidR="00912448" w:rsidRPr="00912448">
        <w:rPr>
          <w:color w:val="000000"/>
          <w:sz w:val="28"/>
          <w:szCs w:val="28"/>
          <w:lang w:eastAsia="ru-RU"/>
        </w:rPr>
        <w:t>01211 – мектепке дейінгі тәрбие мен оқыту педагогикасы" білім беру бағдарламасының мақсаты жоғары әлеуметтік және азаматтық жауапкершілігі бар, кәсіби қызметті жүзеге асыруға қабілетті жоғары білікті тәрбиеші мен мектепке дейінгі білім беру педагогын даярлау болып табылады.</w:t>
      </w:r>
    </w:p>
    <w:p w:rsidR="00912448" w:rsidRPr="00912448" w:rsidRDefault="00912448" w:rsidP="00912448">
      <w:pPr>
        <w:pStyle w:val="a4"/>
        <w:spacing w:after="0"/>
        <w:ind w:left="0" w:firstLine="709"/>
        <w:rPr>
          <w:color w:val="000000"/>
          <w:sz w:val="28"/>
          <w:szCs w:val="28"/>
          <w:lang w:eastAsia="ru-RU"/>
        </w:rPr>
      </w:pPr>
      <w:r w:rsidRPr="00912448">
        <w:rPr>
          <w:color w:val="000000"/>
          <w:sz w:val="28"/>
          <w:szCs w:val="28"/>
          <w:lang w:eastAsia="ru-RU"/>
        </w:rPr>
        <w:t>Білім беру бағдарламасының мақсатын анықтау үшін қоғамның түлектің зияткерлік, жеке және мінез-құлық қасиеттері мен өзіндік өмірге, қазіргі қоғамдағы өнімді кәсіби қызметке деген әлеуметтік үміттері негіз болып табылады.</w:t>
      </w:r>
    </w:p>
    <w:p w:rsidR="00912448" w:rsidRPr="00912448" w:rsidRDefault="00912448" w:rsidP="00912448">
      <w:pPr>
        <w:pStyle w:val="a4"/>
        <w:spacing w:after="0"/>
        <w:ind w:left="0" w:firstLine="709"/>
        <w:rPr>
          <w:color w:val="000000"/>
          <w:sz w:val="28"/>
          <w:szCs w:val="28"/>
          <w:lang w:eastAsia="ru-RU"/>
        </w:rPr>
      </w:pPr>
      <w:r w:rsidRPr="00912448">
        <w:rPr>
          <w:color w:val="000000"/>
          <w:sz w:val="28"/>
          <w:szCs w:val="28"/>
          <w:lang w:eastAsia="ru-RU"/>
        </w:rPr>
        <w:t xml:space="preserve">Даму стратегиясында </w:t>
      </w:r>
      <w:r>
        <w:rPr>
          <w:color w:val="000000"/>
          <w:sz w:val="28"/>
          <w:szCs w:val="28"/>
          <w:lang w:val="kk-KZ" w:eastAsia="ru-RU"/>
        </w:rPr>
        <w:t>«</w:t>
      </w:r>
      <w:r w:rsidRPr="00912448">
        <w:rPr>
          <w:color w:val="000000"/>
          <w:sz w:val="28"/>
          <w:szCs w:val="28"/>
          <w:lang w:eastAsia="ru-RU"/>
        </w:rPr>
        <w:t>7</w:t>
      </w:r>
      <w:r>
        <w:rPr>
          <w:color w:val="000000"/>
          <w:sz w:val="28"/>
          <w:szCs w:val="28"/>
          <w:lang w:val="kk-KZ" w:eastAsia="ru-RU"/>
        </w:rPr>
        <w:t>М</w:t>
      </w:r>
      <w:r w:rsidRPr="00912448">
        <w:rPr>
          <w:color w:val="000000"/>
          <w:sz w:val="28"/>
          <w:szCs w:val="28"/>
          <w:lang w:eastAsia="ru-RU"/>
        </w:rPr>
        <w:t xml:space="preserve">01211 – </w:t>
      </w:r>
      <w:r>
        <w:rPr>
          <w:color w:val="000000"/>
          <w:sz w:val="28"/>
          <w:szCs w:val="28"/>
          <w:lang w:val="kk-KZ" w:eastAsia="ru-RU"/>
        </w:rPr>
        <w:t>М</w:t>
      </w:r>
      <w:r w:rsidRPr="00912448">
        <w:rPr>
          <w:color w:val="000000"/>
          <w:sz w:val="28"/>
          <w:szCs w:val="28"/>
          <w:lang w:eastAsia="ru-RU"/>
        </w:rPr>
        <w:t>ектепке дейінгі тәрбие мен оқыту педагогикасы</w:t>
      </w:r>
      <w:r>
        <w:rPr>
          <w:color w:val="000000"/>
          <w:sz w:val="28"/>
          <w:szCs w:val="28"/>
          <w:lang w:val="kk-KZ" w:eastAsia="ru-RU"/>
        </w:rPr>
        <w:t>»</w:t>
      </w:r>
      <w:r w:rsidRPr="00912448">
        <w:rPr>
          <w:color w:val="000000"/>
          <w:sz w:val="28"/>
          <w:szCs w:val="28"/>
          <w:lang w:eastAsia="ru-RU"/>
        </w:rPr>
        <w:t xml:space="preserve"> білім беру бағдарламасының мақсатын Павлодар педагогикалық университетінің миссиясы, мақсаттары мен міндеттеріне сәйкестігін талқылау бойынша комитет отырысында жыл сайын өзектендіру қарастырылған.</w:t>
      </w:r>
    </w:p>
    <w:p w:rsidR="00912448" w:rsidRPr="00912448" w:rsidRDefault="00912448" w:rsidP="00912448">
      <w:pPr>
        <w:pStyle w:val="a4"/>
        <w:spacing w:after="0"/>
        <w:ind w:left="0" w:firstLine="709"/>
        <w:rPr>
          <w:color w:val="000000"/>
          <w:sz w:val="28"/>
          <w:szCs w:val="28"/>
          <w:lang w:eastAsia="ru-RU"/>
        </w:rPr>
      </w:pPr>
      <w:r w:rsidRPr="00912448">
        <w:rPr>
          <w:color w:val="000000"/>
          <w:sz w:val="28"/>
          <w:szCs w:val="28"/>
          <w:lang w:eastAsia="ru-RU"/>
        </w:rPr>
        <w:t xml:space="preserve">Мұндай тәсіл (университет миссиясы мен стратегиялық мақсаты мен білім беру бағдарламасының миссиясының бағыныстылығы және өзара шарттылығы; жұмыс берушілерді білім беру бағдарламасының сараптамасына тарту) </w:t>
      </w:r>
      <w:r>
        <w:rPr>
          <w:color w:val="000000"/>
          <w:sz w:val="28"/>
          <w:szCs w:val="28"/>
          <w:lang w:val="kk-KZ" w:eastAsia="ru-RU"/>
        </w:rPr>
        <w:t>«</w:t>
      </w:r>
      <w:r w:rsidRPr="00912448">
        <w:rPr>
          <w:color w:val="000000"/>
          <w:sz w:val="28"/>
          <w:szCs w:val="28"/>
          <w:lang w:eastAsia="ru-RU"/>
        </w:rPr>
        <w:t>7</w:t>
      </w:r>
      <w:r>
        <w:rPr>
          <w:color w:val="000000"/>
          <w:sz w:val="28"/>
          <w:szCs w:val="28"/>
          <w:lang w:val="kk-KZ" w:eastAsia="ru-RU"/>
        </w:rPr>
        <w:t>М</w:t>
      </w:r>
      <w:r w:rsidRPr="00912448">
        <w:rPr>
          <w:color w:val="000000"/>
          <w:sz w:val="28"/>
          <w:szCs w:val="28"/>
          <w:lang w:eastAsia="ru-RU"/>
        </w:rPr>
        <w:t xml:space="preserve">01211 – </w:t>
      </w:r>
      <w:r>
        <w:rPr>
          <w:color w:val="000000"/>
          <w:sz w:val="28"/>
          <w:szCs w:val="28"/>
          <w:lang w:val="kk-KZ" w:eastAsia="ru-RU"/>
        </w:rPr>
        <w:t>М</w:t>
      </w:r>
      <w:r w:rsidRPr="00912448">
        <w:rPr>
          <w:color w:val="000000"/>
          <w:sz w:val="28"/>
          <w:szCs w:val="28"/>
          <w:lang w:eastAsia="ru-RU"/>
        </w:rPr>
        <w:t>ектепке дейінгі тәрбие мен оқыту педагогикасы"білім беру бағдарламасын іске асыруға тартылған ЖОО құрылымдық бөлімшелері қызметінің жүйелілігі мен кешенділігін қамтамасыз етеді.</w:t>
      </w:r>
    </w:p>
    <w:p w:rsidR="00912448" w:rsidRPr="00912448" w:rsidRDefault="00912448" w:rsidP="00912448">
      <w:pPr>
        <w:pStyle w:val="a4"/>
        <w:spacing w:after="0"/>
        <w:ind w:left="0" w:firstLine="709"/>
        <w:rPr>
          <w:color w:val="000000"/>
          <w:sz w:val="28"/>
          <w:szCs w:val="28"/>
          <w:lang w:eastAsia="ru-RU"/>
        </w:rPr>
      </w:pPr>
      <w:r w:rsidRPr="00912448">
        <w:rPr>
          <w:color w:val="000000"/>
          <w:sz w:val="28"/>
          <w:szCs w:val="28"/>
          <w:lang w:eastAsia="ru-RU"/>
        </w:rPr>
        <w:t>Білім алушылар өздерінің білім беру қажеттіліктеріне сәйкес ЭПК-да пәндер ұсыныстары арқылы ББ әзірлеуге; білім беру бағдарламасымен қанағаттануға сауалнама жүргізуге қатысады.</w:t>
      </w:r>
    </w:p>
    <w:p w:rsidR="00912448" w:rsidRDefault="00912448" w:rsidP="00912448">
      <w:pPr>
        <w:pStyle w:val="a4"/>
        <w:spacing w:after="0"/>
        <w:ind w:left="0" w:firstLine="709"/>
        <w:rPr>
          <w:color w:val="000000"/>
          <w:sz w:val="28"/>
          <w:szCs w:val="28"/>
          <w:lang w:eastAsia="ru-RU"/>
        </w:rPr>
      </w:pPr>
      <w:r w:rsidRPr="00912448">
        <w:rPr>
          <w:color w:val="000000"/>
          <w:sz w:val="28"/>
          <w:szCs w:val="28"/>
          <w:lang w:eastAsia="ru-RU"/>
        </w:rPr>
        <w:t>Білім беру бағдарламасының барлық пәндері бойынша кәсіби құзыреттілікті қалыптастыру мақсатында бейінді, сондай-ақ ғылыми және педагогикалық бейін бойынша практикалық сабақтарға аудиториялық сағаттардың көп саны бөлінді.</w:t>
      </w:r>
    </w:p>
    <w:p w:rsidR="00912448" w:rsidRPr="00912448" w:rsidRDefault="00912448" w:rsidP="00912448">
      <w:pPr>
        <w:ind w:left="0" w:firstLine="567"/>
        <w:rPr>
          <w:szCs w:val="28"/>
        </w:rPr>
      </w:pPr>
      <w:r w:rsidRPr="00912448">
        <w:rPr>
          <w:szCs w:val="28"/>
        </w:rPr>
        <w:t>Магистранттар, сондай-ақ интернеттің басқа пайдаланушылары өздерінің электрондық беттерінен барлық оқу құжаттарына, соның ішінде білім беру бағдарламасының элективті пәндер каталогына (ЭПК) қол жеткізе алады.</w:t>
      </w:r>
    </w:p>
    <w:p w:rsidR="00912448" w:rsidRPr="00912448" w:rsidRDefault="00912448" w:rsidP="00912448">
      <w:pPr>
        <w:ind w:left="0" w:firstLine="567"/>
        <w:rPr>
          <w:szCs w:val="28"/>
        </w:rPr>
      </w:pPr>
      <w:r w:rsidRPr="00912448">
        <w:rPr>
          <w:szCs w:val="28"/>
        </w:rPr>
        <w:t>ЭПК таңдау компонентінің барлық пәндерінің жүйеленген аннотацияланған тізбесін білдіреді.</w:t>
      </w:r>
    </w:p>
    <w:p w:rsidR="00C4667C" w:rsidRPr="00912448" w:rsidRDefault="00912448" w:rsidP="00912448">
      <w:pPr>
        <w:ind w:left="0" w:firstLine="567"/>
        <w:rPr>
          <w:szCs w:val="28"/>
          <w:lang w:val="kk-KZ"/>
        </w:rPr>
      </w:pPr>
      <w:r w:rsidRPr="00912448">
        <w:rPr>
          <w:szCs w:val="28"/>
        </w:rPr>
        <w:t>ЭПК құрылымы мыналарды қамтиды: көлемі (кредиттер саны); пре - және Постреквизиттер, оқу мақсаттары; Пәннің қысқаша мазмұны (Негізгі бөлімдер); күтілетін нәтижелер (білім алушылардың алатын білімі, іскерліктері, дағдылары мен құзыреттері).</w:t>
      </w:r>
    </w:p>
    <w:p w:rsidR="00912448" w:rsidRDefault="00912448" w:rsidP="00C4667C">
      <w:pPr>
        <w:suppressAutoHyphens/>
        <w:ind w:left="0" w:firstLine="708"/>
        <w:contextualSpacing/>
        <w:rPr>
          <w:szCs w:val="28"/>
        </w:rPr>
      </w:pPr>
    </w:p>
    <w:p w:rsidR="00912448" w:rsidRDefault="00912448" w:rsidP="00C4667C">
      <w:pPr>
        <w:suppressAutoHyphens/>
        <w:ind w:left="0" w:firstLine="708"/>
        <w:contextualSpacing/>
        <w:rPr>
          <w:szCs w:val="28"/>
        </w:rPr>
      </w:pPr>
      <w:r w:rsidRPr="00912448">
        <w:rPr>
          <w:szCs w:val="28"/>
        </w:rPr>
        <w:t xml:space="preserve">1.2 </w:t>
      </w:r>
      <w:r>
        <w:rPr>
          <w:szCs w:val="28"/>
          <w:lang w:val="kk-KZ"/>
        </w:rPr>
        <w:t>Б</w:t>
      </w:r>
      <w:r w:rsidRPr="00912448">
        <w:rPr>
          <w:szCs w:val="28"/>
        </w:rPr>
        <w:t>ілім алушылар туралы мәліметтер</w:t>
      </w:r>
    </w:p>
    <w:p w:rsidR="00912448" w:rsidRDefault="00912448" w:rsidP="00C4667C">
      <w:pPr>
        <w:suppressAutoHyphens/>
        <w:ind w:left="0" w:firstLine="708"/>
        <w:contextualSpacing/>
        <w:rPr>
          <w:szCs w:val="28"/>
        </w:rPr>
      </w:pP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lastRenderedPageBreak/>
        <w:t>Қазіргі заманғы отандық білім берудің өзіне тән ерекшелігі білім алушыға жүгіну болып табылады: білім алушылардың дербестігін және олардың нәтижеге бағдарланған тәсіл арқылы сыни ойлау қабілетін арттыруға бағытталған оқыту ортасындағы сапалы қайта құру. Мұндай тәсілмен білім беру процесінің негізгі нәтижесі білім, түсіну және қабілеттілік тұрғысынан оқыту нәтижелері болып табылады, ал мұғалімдер осы нәтижелерге жету үшін қолданатын Оқыту құралдары мен әдістері емес.</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Университетте білім алушылар үшін барлық жағдай жасалған. Студентке бағдарланған оқыту қағидатын іске асыру білім беру процесін жобалау және ұйымдастыру арқылы жүзеге асырылады, онда:</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оқу жоспарлары халықаралық стандарттарға сәйкес жасалады;</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студенттер оқу үшін жауапкершіліктің бір бөлігін алатын, бір-бірімен және мұғаліммен өзара әрекеттесетін, оларға қол жеткізудің мақсаттары мен тәсілдерін таңдауда, сонымен бірге қолданыстағы Дағдылар мен білімдерді қолдану мен жетілдірудің ең жақсы жолдарын зерттейтін субъективті қатынастардың толық мүшелері ретінде әрекет етеді;</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жеке траектория құрылады-жеке тәсіл мен жеке оқыту нысаны басым болатын оқу процесін ұйымдастыру, бұл ретте білім алушы пәндерді таңдау еркіндігіне ие болады және тек өзі үшін және өзінің траекториясы үшін жауап береді;</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бағалау магистранттың жетістіктерін дәл көрсетеді;</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оқытушы Білім беру ақпаратының аудармашысы емес, педагог-менеджер рөлін атқарады;</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ақпарат Оқу мақсаты емес, іс-әрекетті ұйымдастыру құралы ретінде қолданылады;</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оқу бағдарламалары мен технологиялары болашақ мамандықтың талаптары мен магистранттың мүмкіндіктеріне қарай қалыптасады;</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ПОҚ жұмысын бағалау кезінде магистранттардың жетістіктері мен олардың пікірлері ескеріледі;</w:t>
      </w:r>
    </w:p>
    <w:p w:rsidR="00912448" w:rsidRP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ПОҚ кәсіби өсуі магистранттардың қажеттіліктері мен олардың жетістіктерінің сапасын жақсартуға бағытталған;</w:t>
      </w:r>
    </w:p>
    <w:p w:rsidR="00912448" w:rsidRDefault="00912448" w:rsidP="00912448">
      <w:pPr>
        <w:suppressAutoHyphens/>
        <w:ind w:left="0" w:firstLine="708"/>
        <w:rPr>
          <w:rFonts w:cs="Mangal"/>
          <w:kern w:val="2"/>
          <w:szCs w:val="28"/>
          <w:lang w:eastAsia="hi-IN" w:bidi="hi-IN"/>
        </w:rPr>
      </w:pPr>
      <w:r w:rsidRPr="00912448">
        <w:rPr>
          <w:rFonts w:cs="Mangal"/>
          <w:kern w:val="2"/>
          <w:szCs w:val="28"/>
          <w:lang w:eastAsia="hi-IN" w:bidi="hi-IN"/>
        </w:rPr>
        <w:t>- жұмыс берушілер мен магистранттардың білім беру бағдарламаларын әзірлеуге, сапаны қамтамасыз ету жөніндегі іс-шараларға қатысуы міндетті;</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 магистранттардың әр түрлі іс-әрекеттерін ұйымдастыруға баса назар аударылады.</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Магистранттар үшін күтілетін үміттер:</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 өзін-өзі бақылау, өзін-өзі оқыту мүмкіндіктерін дамыту;</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 оқытудың нақты мақсаттарын еске салу, аудиториялық және аудиториядан тыс іс-шараларды қамтитын оқыту стратегиясын әзірлеу, оқыту мақсаттарына қол жеткізуді бақылау.</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Профессор-оқытушылар құрамы үшін:</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 сапаны Ішкі қамтамасыз етуді жүзеге асыру үшін бірлескен жауапкершілік;</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 магистратуралармен серіктестікте жұмыс істеу, оқытушы мен білім алушының өзара құрметін нығайту;</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 оқытудың формалары мен педагогикалық әдістерін жетілдіру ; ;</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lastRenderedPageBreak/>
        <w:t>- педагогикалық әдістерді бағалау және түзету үшін қолданылатын әдістер мен әдістер туралы реттелетін кері байланыс;</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 кәсіби және жеке өсу.</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Университетте ашық диалог, магистрлер, ПОҚ және магистранттардың қажеттіліктері мен ұмтылыстарын білдіретін үйлесімді әкімшілер арасында кері байланыс бар. Барлық мүдделі бекіністер бағдарламаны әзірлеу мен іске асыруды сындарлы талқылауға қатысады. Магистранттарға әр түрлі қажеттіліктерді таңдау және қанағаттандыру қамтамасыз етілген.</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Магистранттың оқу жүктемесі оның жеке қабілеттері мен мүмкіндіктерін оқытумен құрылады және академиялық сабақтың ұзақтығымен және оқу сағаттарының көлемімен, оқу жұмысының әртүрлі түрлері үшін ілеспе академиялық сағаттармен анықталады, есту сағаттарынан, оқытушының басшылығымен өзіндік жұмыстан, өзіндік жұмыстан, бақыланатын өлшемдерге қатысудан тұрады.</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Академиялық кезең ұзақтығы 15 апта болатын семестр болып табылады.</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Осылайша, университетте ҚР МЖМБС-ға сәйкес жоғары оқу орнының ерекшелігін оқыта отырып, мамандықтарды даярлау бағдарламасы шеңберінде түрлі бағыттағы мамандарды даярлауда жүйелі құзыретті тәсіл қалыптастырылып, іске асырылды.</w:t>
      </w:r>
    </w:p>
    <w:p w:rsidR="00912448" w:rsidRPr="00912448" w:rsidRDefault="00912448" w:rsidP="00912448">
      <w:pPr>
        <w:ind w:left="0" w:firstLine="0"/>
        <w:rPr>
          <w:rFonts w:cs="Mangal"/>
          <w:kern w:val="2"/>
          <w:szCs w:val="28"/>
          <w:lang w:val="kk-KZ" w:eastAsia="hi-IN" w:bidi="hi-IN"/>
        </w:rPr>
      </w:pPr>
      <w:r w:rsidRPr="00912448">
        <w:rPr>
          <w:rFonts w:cs="Mangal"/>
          <w:kern w:val="2"/>
          <w:szCs w:val="28"/>
          <w:lang w:val="kk-KZ" w:eastAsia="hi-IN" w:bidi="hi-IN"/>
        </w:rPr>
        <w:t>Осы арқылы магистранттың жеке траекториясы жүзеге асырылады. Әрбір элективті пән бойынша оқу бағдарламасы әзірленеді. Оқу бағдарламасымен үйлесімділікте пәннің оқу-әдістемелік кешенінің басқа компоненттері әзірленеді.</w:t>
      </w:r>
    </w:p>
    <w:p w:rsidR="00C4667C" w:rsidRPr="00912448" w:rsidRDefault="00912448" w:rsidP="00912448">
      <w:pPr>
        <w:ind w:left="0" w:firstLine="0"/>
        <w:rPr>
          <w:szCs w:val="28"/>
          <w:lang w:val="kk-KZ"/>
        </w:rPr>
      </w:pPr>
      <w:r w:rsidRPr="00912448">
        <w:rPr>
          <w:rFonts w:cs="Mangal"/>
          <w:kern w:val="2"/>
          <w:szCs w:val="28"/>
          <w:lang w:val="kk-KZ" w:eastAsia="hi-IN" w:bidi="hi-IN"/>
        </w:rPr>
        <w:t>Білім беру бағдарламасы ұсынылған курсты оқытудың таңдалған мазмұны, нысандары мен әдістері түлектердің одан әрі кәсіби қызметінде қажетті құзыреттердің сәтті қалыптасуына ықпал ететіндігін көрсетеді.</w:t>
      </w:r>
    </w:p>
    <w:p w:rsidR="00912448" w:rsidRPr="00946384" w:rsidRDefault="00912448" w:rsidP="00C4667C">
      <w:pPr>
        <w:ind w:left="0" w:firstLine="708"/>
        <w:rPr>
          <w:szCs w:val="28"/>
          <w:lang w:val="kk-KZ"/>
        </w:rPr>
      </w:pPr>
    </w:p>
    <w:p w:rsidR="00912448" w:rsidRPr="00946384" w:rsidRDefault="00912448" w:rsidP="00C4667C">
      <w:pPr>
        <w:ind w:left="0" w:firstLine="708"/>
        <w:rPr>
          <w:szCs w:val="28"/>
          <w:lang w:val="kk-KZ"/>
        </w:rPr>
      </w:pPr>
      <w:r w:rsidRPr="00946384">
        <w:rPr>
          <w:szCs w:val="28"/>
          <w:lang w:val="kk-KZ"/>
        </w:rPr>
        <w:t>1.3 ББ дамыту үшін ішкі жағдайлар</w:t>
      </w:r>
    </w:p>
    <w:p w:rsidR="00017E4E" w:rsidRPr="00946384" w:rsidRDefault="00017E4E" w:rsidP="00017E4E">
      <w:pPr>
        <w:ind w:left="0" w:firstLine="708"/>
        <w:rPr>
          <w:szCs w:val="28"/>
          <w:lang w:val="kk-KZ"/>
        </w:rPr>
      </w:pPr>
    </w:p>
    <w:p w:rsidR="00017E4E" w:rsidRPr="00946384" w:rsidRDefault="00017E4E" w:rsidP="00017E4E">
      <w:pPr>
        <w:ind w:left="0" w:firstLine="708"/>
        <w:rPr>
          <w:szCs w:val="28"/>
          <w:lang w:val="kk-KZ"/>
        </w:rPr>
      </w:pPr>
      <w:r w:rsidRPr="00946384">
        <w:rPr>
          <w:szCs w:val="28"/>
          <w:lang w:val="kk-KZ"/>
        </w:rPr>
        <w:t>Өткізілетін сабақтардың жоғары сапасын қамтамасыз ету үшін заманауи компьютерлермен жабдықталған және интерактивті тақтасы бар аудиториялар қолданылады. Барлық пәндер практикалық жұмыстарды өз бетінше орындауға арналған әдістемелік нұсқаулармен, пәндердің оқу материалының мемлекеттік және орыс тілдерінде қолжетімділігін арттыру үшін дәрістер конспектілерімен қамтамасыз етілген.</w:t>
      </w:r>
    </w:p>
    <w:p w:rsidR="00017E4E" w:rsidRPr="00946384" w:rsidRDefault="00017E4E" w:rsidP="00017E4E">
      <w:pPr>
        <w:ind w:left="0" w:firstLine="708"/>
        <w:rPr>
          <w:szCs w:val="28"/>
          <w:lang w:val="kk-KZ"/>
        </w:rPr>
      </w:pPr>
      <w:r w:rsidRPr="00946384">
        <w:rPr>
          <w:szCs w:val="28"/>
          <w:lang w:val="kk-KZ"/>
        </w:rPr>
        <w:t>ББ бойынша оқыту сапасын арттыру үшін оқытушылар оқытудың инновациялық әдістерін кеңінен қолданады: көптеген пәндер бойынша практикалық жұмыстар компьютерлік техниканы және мамандандырылған бағдарламалық қамтамасыз етуді қолдана отырып жүргізіледі. Мамандандырылған кабинеттер мен зертханалар бар</w:t>
      </w:r>
    </w:p>
    <w:p w:rsidR="00017E4E" w:rsidRPr="00946384" w:rsidRDefault="00017E4E" w:rsidP="00017E4E">
      <w:pPr>
        <w:ind w:left="0" w:firstLine="708"/>
        <w:rPr>
          <w:szCs w:val="28"/>
          <w:lang w:val="kk-KZ"/>
        </w:rPr>
      </w:pPr>
      <w:r>
        <w:rPr>
          <w:szCs w:val="28"/>
          <w:lang w:val="kk-KZ"/>
        </w:rPr>
        <w:t>«</w:t>
      </w:r>
      <w:r w:rsidRPr="00946384">
        <w:rPr>
          <w:szCs w:val="28"/>
          <w:lang w:val="kk-KZ"/>
        </w:rPr>
        <w:t>7</w:t>
      </w:r>
      <w:r>
        <w:rPr>
          <w:szCs w:val="28"/>
          <w:lang w:val="kk-KZ"/>
        </w:rPr>
        <w:t>М</w:t>
      </w:r>
      <w:r w:rsidRPr="00946384">
        <w:rPr>
          <w:szCs w:val="28"/>
          <w:lang w:val="kk-KZ"/>
        </w:rPr>
        <w:t>01211 – мектепке дейінгі тәрбие мен оқыту педагогикасы</w:t>
      </w:r>
      <w:r>
        <w:rPr>
          <w:szCs w:val="28"/>
          <w:lang w:val="kk-KZ"/>
        </w:rPr>
        <w:t>»</w:t>
      </w:r>
      <w:r w:rsidRPr="00946384">
        <w:rPr>
          <w:szCs w:val="28"/>
          <w:lang w:val="kk-KZ"/>
        </w:rPr>
        <w:t xml:space="preserve"> ББ іске асыру үшін </w:t>
      </w:r>
      <w:r>
        <w:rPr>
          <w:szCs w:val="28"/>
          <w:lang w:val="kk-KZ"/>
        </w:rPr>
        <w:t>ПОӘК</w:t>
      </w:r>
      <w:r w:rsidRPr="00946384">
        <w:rPr>
          <w:szCs w:val="28"/>
          <w:lang w:val="kk-KZ"/>
        </w:rPr>
        <w:t xml:space="preserve"> құрылды, оған мынадай құрылымдық элементтер кіреді: МЖМБС; ОЖЖ; оқу-әдістемелік қамтамасыз етілу картасы; кәсіптік практикадан өту жөніндегі әдістемелік нұсқаулар; ДР орындау жөніндегі әдістемелік нұсқаулар; қорытынды мемлекеттік аттестаттау жөніндегі әдістемелік нұсқаулар. Пәндердің мазмұны ПОӘК мен силлабуста толығырақ ашылған. ПОӘК ББ қамтамасыз етілуі 100% құрайды.</w:t>
      </w:r>
    </w:p>
    <w:p w:rsidR="00017E4E" w:rsidRPr="00946384" w:rsidRDefault="00017E4E" w:rsidP="00017E4E">
      <w:pPr>
        <w:ind w:left="0" w:firstLine="708"/>
        <w:rPr>
          <w:szCs w:val="28"/>
          <w:lang w:val="kk-KZ"/>
        </w:rPr>
      </w:pPr>
      <w:r w:rsidRPr="00946384">
        <w:rPr>
          <w:szCs w:val="28"/>
          <w:lang w:val="kk-KZ"/>
        </w:rPr>
        <w:lastRenderedPageBreak/>
        <w:t>Білім беру және кәсіптік бағдарламаларды іске асырудың тиімділігі ПОӘК-мен қамтамасыз етіледі, оған үлгілік оқу бағдарламасы, силлабустар, пәннің оқу-әдістемелік белгісіздігі картасы, дәріс кешені, практикалық сабақтарға арналған әдістемелік нұсқаулар, СӨЖ және СӨЖ материалдары, аралық және қорытынды бақылауға арналған тест тапсырмалары кіреді.</w:t>
      </w:r>
    </w:p>
    <w:p w:rsidR="00017E4E" w:rsidRPr="00946384" w:rsidRDefault="00017E4E" w:rsidP="00017E4E">
      <w:pPr>
        <w:ind w:left="0" w:firstLine="708"/>
        <w:rPr>
          <w:szCs w:val="28"/>
          <w:lang w:val="kk-KZ"/>
        </w:rPr>
      </w:pPr>
      <w:r w:rsidRPr="00946384">
        <w:rPr>
          <w:szCs w:val="28"/>
          <w:lang w:val="kk-KZ"/>
        </w:rPr>
        <w:t>ПОҚ оқу-дидактикалық материалдарын әзірлеу кезінде Педагогика және психология саласындағы заманауи ғылыми зерттеулер пайдаланылады, бұл оқыту мақсаттарына сәйкес келеді. ПОӘК-те "пәннің оқу-әдістемелік белгісіздігінің картасы" бөлімінде соңғы 3-5 жылдағы ғылымның жетістіктері көрсетілген әдебиет ұсынылған (карта жүйелі түрде жаңартылып отырады).</w:t>
      </w:r>
    </w:p>
    <w:p w:rsidR="00017E4E" w:rsidRPr="00946384" w:rsidRDefault="00017E4E" w:rsidP="00017E4E">
      <w:pPr>
        <w:ind w:left="0" w:firstLine="708"/>
        <w:rPr>
          <w:szCs w:val="28"/>
          <w:lang w:val="kk-KZ"/>
        </w:rPr>
      </w:pPr>
      <w:r w:rsidRPr="00946384">
        <w:rPr>
          <w:szCs w:val="28"/>
          <w:lang w:val="kk-KZ"/>
        </w:rPr>
        <w:t>Білім беру бағдарламасын тиімді іске асыру мақсатында оқытудың белсенді және инновациялық әдістерін енгізу бойынша жұмыстар үнемі жүргізіледі, бұл студенттерге жаңа білім алудың белсенді тәсілдеріне оқуға көмектеседі, әлеуметтік қызметтің жоғары деңгейімен ауыруды игере алады, сондай-ақ студенттердің шығармашылық қабілеттерін ынталандырады және функционалдық сауаттылықты қалыптастыруға көмектеседі.</w:t>
      </w:r>
    </w:p>
    <w:p w:rsidR="00017E4E" w:rsidRPr="00946384" w:rsidRDefault="00017E4E" w:rsidP="00017E4E">
      <w:pPr>
        <w:ind w:left="0" w:firstLine="708"/>
        <w:rPr>
          <w:szCs w:val="28"/>
          <w:lang w:val="kk-KZ"/>
        </w:rPr>
      </w:pPr>
      <w:r w:rsidRPr="00946384">
        <w:rPr>
          <w:szCs w:val="28"/>
          <w:lang w:val="kk-KZ"/>
        </w:rPr>
        <w:t>Пәндерді оқыту процесін жаңғырту қазіргі заманғы білім беру технологиялары, оның барлық компоненттерін әмбебап әдістемелік қамтамасыз ету есебінен жүргізіледі. Мамандықтардың оқу процесі толық көлемде барлық қажетті ақпараттық көздермен қамтамасыз етілген: Оқу құралдары, Оқу құралдары, оқу пәндері бойынша әдістемелік ұсыныстар мен әзірлемелер, белсенді үлестірмелі материалдар және өзіндік жұмыс бойынша нұсқаулар, желілік білім беру ресурстарына қол жетімділік. Электронды оқулықтар, видеолекциялар, дәріс-презентациялар және т. б. бар. Дәріс сабақтарын өткізу үшін интерактивті тақталар, мультимедиялық құрылымдар бар, компьютерлік сыныптар жергілікті Интернетке және Wi-Fi желісіне қосылған, бірнеше және көшіру техникасы бар. Оқу процесін мультимедиялық кабинеттермен және мамандандырылған зертханалармен кеңейту стандарттардың талаптарына сәйкес үнемі жүргізіледі.</w:t>
      </w:r>
    </w:p>
    <w:p w:rsidR="00017E4E" w:rsidRPr="00017E4E" w:rsidRDefault="00017E4E" w:rsidP="00017E4E">
      <w:pPr>
        <w:ind w:left="0" w:firstLine="708"/>
        <w:rPr>
          <w:kern w:val="2"/>
          <w:szCs w:val="28"/>
          <w:lang w:val="kk-KZ"/>
        </w:rPr>
      </w:pPr>
      <w:r w:rsidRPr="00017E4E">
        <w:rPr>
          <w:kern w:val="2"/>
          <w:szCs w:val="28"/>
          <w:lang w:val="kk-KZ"/>
        </w:rPr>
        <w:t>Кафедра жұмысындағы бағыттардың бірі интерактивті оқыту құралы ретінде ақпараттық-коммуникативтік технологияларды (АКТ) енгізу болып табылады. Акт ақпаратты құру, беру және тарату және қызмет көрсету үшін пайдаланылатын сандық технологиялардың кең спектрін қамтиды: компьютерлік жабдық, Бағдарламалық қамтамасыз ету, ұялы байланыс, электрондық пошта, сымсыз және кабельдік желілер, мультимедиялық құралдар, Интернет құралдары.</w:t>
      </w:r>
    </w:p>
    <w:p w:rsidR="00C4667C" w:rsidRDefault="00017E4E" w:rsidP="00017E4E">
      <w:pPr>
        <w:ind w:left="0" w:firstLine="0"/>
        <w:rPr>
          <w:szCs w:val="28"/>
          <w:lang w:val="kk-KZ"/>
        </w:rPr>
      </w:pPr>
      <w:r w:rsidRPr="00017E4E">
        <w:rPr>
          <w:kern w:val="2"/>
          <w:szCs w:val="28"/>
          <w:lang w:val="kk-KZ"/>
        </w:rPr>
        <w:t>Оқытудың креативті технологиясына да ерекше көңіл бөлінеді. Адамның шығармашылық әлеуетін дамытуға, ойдың батылдығына, шығармашылық қабілеттеріне деген сенімділікке, жаңа стандартты емес идеяларды қалыптастыру қабілетіне ие шығармашылық білім беру технологиясы.</w:t>
      </w:r>
    </w:p>
    <w:p w:rsidR="00017E4E" w:rsidRDefault="00017E4E" w:rsidP="00C4667C">
      <w:pPr>
        <w:ind w:left="0" w:firstLine="708"/>
        <w:rPr>
          <w:szCs w:val="28"/>
          <w:lang w:val="kk-KZ"/>
        </w:rPr>
      </w:pPr>
    </w:p>
    <w:p w:rsidR="00017E4E" w:rsidRDefault="00017E4E" w:rsidP="00C4667C">
      <w:pPr>
        <w:ind w:left="0" w:firstLine="708"/>
        <w:rPr>
          <w:szCs w:val="28"/>
          <w:lang w:val="kk-KZ"/>
        </w:rPr>
      </w:pPr>
      <w:r w:rsidRPr="00017E4E">
        <w:rPr>
          <w:szCs w:val="28"/>
          <w:lang w:val="kk-KZ"/>
        </w:rPr>
        <w:t>1.5 ББ іске асыратын ОПҚ туралы мәліметтер</w:t>
      </w:r>
    </w:p>
    <w:p w:rsidR="00017E4E" w:rsidRDefault="00017E4E" w:rsidP="00C4667C">
      <w:pPr>
        <w:ind w:left="0" w:firstLine="708"/>
        <w:rPr>
          <w:szCs w:val="28"/>
          <w:lang w:val="kk-KZ"/>
        </w:rPr>
      </w:pPr>
    </w:p>
    <w:p w:rsidR="00017E4E" w:rsidRPr="00017E4E" w:rsidRDefault="00017E4E" w:rsidP="00017E4E">
      <w:pPr>
        <w:ind w:left="0" w:firstLine="708"/>
        <w:rPr>
          <w:szCs w:val="28"/>
          <w:lang w:val="kk-KZ"/>
        </w:rPr>
      </w:pPr>
      <w:r w:rsidRPr="00017E4E">
        <w:rPr>
          <w:szCs w:val="28"/>
          <w:lang w:val="kk-KZ"/>
        </w:rPr>
        <w:t>"7</w:t>
      </w:r>
      <w:r>
        <w:rPr>
          <w:szCs w:val="28"/>
          <w:lang w:val="kk-KZ"/>
        </w:rPr>
        <w:t>М</w:t>
      </w:r>
      <w:r w:rsidRPr="00017E4E">
        <w:rPr>
          <w:szCs w:val="28"/>
          <w:lang w:val="kk-KZ"/>
        </w:rPr>
        <w:t xml:space="preserve">01211 – мектепке дейінгі тәрбие мен оқыту педагогикасы" ББ ПОҚ қызметі жоғары кәсіптік білім берудің мемлекеттік жалпыға міндетті стандарттарына сәйкес қалыптастырылған кәсіби білімі, дағдылары, түйінді құзыреттері бар, бәсекеге </w:t>
      </w:r>
      <w:r w:rsidRPr="00017E4E">
        <w:rPr>
          <w:szCs w:val="28"/>
          <w:lang w:val="kk-KZ"/>
        </w:rPr>
        <w:lastRenderedPageBreak/>
        <w:t>қабілетті мамандарды даярлауға бағытталған әлемдік білім беру кеңістігінің қазіргі заманғы үрдістеріне негізделген.</w:t>
      </w:r>
    </w:p>
    <w:p w:rsidR="00017E4E" w:rsidRPr="00017E4E" w:rsidRDefault="00017E4E" w:rsidP="00017E4E">
      <w:pPr>
        <w:ind w:left="0" w:firstLine="708"/>
        <w:rPr>
          <w:szCs w:val="28"/>
          <w:lang w:val="kk-KZ"/>
        </w:rPr>
      </w:pPr>
      <w:r w:rsidRPr="00017E4E">
        <w:rPr>
          <w:szCs w:val="28"/>
          <w:lang w:val="kk-KZ"/>
        </w:rPr>
        <w:t>Университеттің кадрлық саясаты университеттің миссиясы мен даму стратегиясына сәйкес келеді және профессор-оқытушылар құрамының кәсіби әлеуетін сақтауға және дамытуға, оқытушылар мен қызметкерлердің ғылыми-педагогикалық, біліктілік және мансаптық өсуін арттыру үшін жағдай жасауға, сараланған еңбекақы төлеуді қамтамасыз ету бойынша тетіктер жасауға, университет ұжымында қолайлы моральдық-психологиялық ахуал қалыптастыруға бағытталған.</w:t>
      </w:r>
    </w:p>
    <w:p w:rsidR="00017E4E" w:rsidRPr="00017E4E" w:rsidRDefault="00017E4E" w:rsidP="00017E4E">
      <w:pPr>
        <w:ind w:left="0" w:firstLine="708"/>
        <w:rPr>
          <w:szCs w:val="28"/>
          <w:lang w:val="kk-KZ"/>
        </w:rPr>
      </w:pPr>
      <w:r w:rsidRPr="00017E4E">
        <w:rPr>
          <w:szCs w:val="28"/>
          <w:lang w:val="kk-KZ"/>
        </w:rPr>
        <w:t>Кадр саясаты жоғары білікті кәсіпқойлардың біртұтас, ұйымшыл командасын қалыптастыруға бағытталған.</w:t>
      </w:r>
    </w:p>
    <w:p w:rsidR="00017E4E" w:rsidRPr="00946384" w:rsidRDefault="00017E4E" w:rsidP="00017E4E">
      <w:pPr>
        <w:ind w:left="0" w:firstLine="708"/>
        <w:rPr>
          <w:szCs w:val="28"/>
          <w:lang w:val="kk-KZ"/>
        </w:rPr>
      </w:pPr>
      <w:r w:rsidRPr="00946384">
        <w:rPr>
          <w:szCs w:val="28"/>
          <w:lang w:val="kk-KZ"/>
        </w:rPr>
        <w:t>Студентке бағытталған оқытуға көшуге байланысты білім беру бағдарламасының басшылығы мұғалімнің рөлінің өзгеруін қолдайды: мұғалімнің рөлінің өзгеруінің өзіндік ерекшеліктері университет студенттерді оқу процесін бірлесіп құруда белсенді рөлге итермелейтін білім беру бағдарламаларын әзірлеуді қамтамасыз етеді, ал студенттердің үлгерімін бағалау осы тәсілді көрсетуі керек. Оқытушының міндеті-жоғары білімнің жаппай болуы және әртараптандырылған студенттер контингенті жағдайында оқытуға жағдай жасау және ықпал ету, студенттердің сапаға қойылатын талаптарының артуына байланысты ЖҚКО кеңінен пайдаланылатын болады. Студентке бағытталған тәсіл оқытуды әртүрлі жолдармен ұйымдастыруға мүмкіндік береді, сондықтан мұғалімнің жұмысы қызықты болады, ол фасилитатор болады. ЖҚКО оқытушыларды өздерінің курстары мен оқыту әдістерін қайта қарауға және жетілдіруге мәжбүрлейді, өйткені олар процеске тартылған студенттерден барабар және сындарлы кері байланыс алады. Студенттердің қызығушылығын арттыру және олардың қатысуының жоғары деңгейі оқытуды қызықты етеді. ЖҚКО жеке тұлғалық жетілу үшін де, мансаптық өсу үшін де қажетті білімді, дағдылар мен құзыреттерді қалыптастыру тұрғысынан кәсіби дамудың анағұрлым жоғары деңгейін ұсына алады. Студентке бағдарланған тәсіл оқытушыларға оқыту жолдарын таңдауда үлкен еркіндікті қамтамасыз етеді. Мұғалім көмекші-фасилитаторға айналады, онда оқу жауапкершілігі бірлескен және оқу процесі талқыланады; білім алушылар жеке тұлға ретінде қарастырылады – олардың тәжірибесі, ерекшеліктері, қабылдау қабілеттері, қызығушылықтары мен қажеттіліктері ескеріледі; білім алушылар белсенді оқыту, рефлексия арқылы, сондай-ақ зерттеулер мен жаңалықтар арқылы өз мазмұнын "құрастырады".</w:t>
      </w:r>
    </w:p>
    <w:p w:rsidR="00017E4E" w:rsidRPr="00017E4E" w:rsidRDefault="00017E4E" w:rsidP="00017E4E">
      <w:pPr>
        <w:autoSpaceDE w:val="0"/>
        <w:autoSpaceDN w:val="0"/>
        <w:adjustRightInd w:val="0"/>
        <w:ind w:left="0" w:firstLine="567"/>
        <w:rPr>
          <w:szCs w:val="28"/>
        </w:rPr>
      </w:pPr>
      <w:r w:rsidRPr="00946384">
        <w:rPr>
          <w:szCs w:val="28"/>
          <w:lang w:val="kk-KZ"/>
        </w:rPr>
        <w:t xml:space="preserve">Павлодар педагогикалық университетінде қолданылатын негізгі индикаторлар жұмыс үшін үлкен маңызға ие және салыстырмалы түрде өлшенеді. </w:t>
      </w:r>
      <w:r w:rsidRPr="00017E4E">
        <w:rPr>
          <w:szCs w:val="28"/>
        </w:rPr>
        <w:t>ЖОО-да оқу-әдістемелік индикаторлар да, ғылыми-зерттеу индикаторлары да бар:</w:t>
      </w:r>
    </w:p>
    <w:p w:rsidR="00017E4E" w:rsidRPr="00017E4E" w:rsidRDefault="00017E4E" w:rsidP="00017E4E">
      <w:pPr>
        <w:autoSpaceDE w:val="0"/>
        <w:autoSpaceDN w:val="0"/>
        <w:adjustRightInd w:val="0"/>
        <w:ind w:left="0" w:firstLine="567"/>
        <w:rPr>
          <w:szCs w:val="28"/>
        </w:rPr>
      </w:pPr>
      <w:r w:rsidRPr="00017E4E">
        <w:rPr>
          <w:szCs w:val="28"/>
        </w:rPr>
        <w:t>1. Педагогикалық тиімділік-аудиториялық және жеке сабақтар, консультациялар және т. б.</w:t>
      </w:r>
    </w:p>
    <w:p w:rsidR="00017E4E" w:rsidRPr="00017E4E" w:rsidRDefault="00017E4E" w:rsidP="00017E4E">
      <w:pPr>
        <w:autoSpaceDE w:val="0"/>
        <w:autoSpaceDN w:val="0"/>
        <w:adjustRightInd w:val="0"/>
        <w:ind w:left="0" w:firstLine="567"/>
        <w:rPr>
          <w:szCs w:val="28"/>
        </w:rPr>
      </w:pPr>
      <w:r w:rsidRPr="00017E4E">
        <w:rPr>
          <w:szCs w:val="28"/>
        </w:rPr>
        <w:t xml:space="preserve">2. Ғылыми жұмыс – монографиялар, оқулықтар, оқу-әдістемелік құралдар, webofscince (ThomsonReuters), Elsevier (SCOPUS) деректер базасының импакт-факторы бар журналдарда жариялау, ҚР БҒМ БҒСБК журналдарында Жарияланымдар, ТМД елдерінің ЖАК ұсынған журналдарда Жарияланымдар (ЖАК, РИНЦ журналдары) және шетелдік </w:t>
      </w:r>
      <w:proofErr w:type="gramStart"/>
      <w:r w:rsidRPr="00017E4E">
        <w:rPr>
          <w:szCs w:val="28"/>
        </w:rPr>
        <w:t>журналдар.,</w:t>
      </w:r>
      <w:proofErr w:type="gramEnd"/>
    </w:p>
    <w:p w:rsidR="00017E4E" w:rsidRPr="00017E4E" w:rsidRDefault="00017E4E" w:rsidP="00017E4E">
      <w:pPr>
        <w:autoSpaceDE w:val="0"/>
        <w:autoSpaceDN w:val="0"/>
        <w:adjustRightInd w:val="0"/>
        <w:ind w:left="0" w:firstLine="567"/>
        <w:rPr>
          <w:szCs w:val="28"/>
        </w:rPr>
      </w:pPr>
      <w:r w:rsidRPr="00017E4E">
        <w:rPr>
          <w:szCs w:val="28"/>
        </w:rPr>
        <w:lastRenderedPageBreak/>
        <w:t>3. Оқу-әдістемелік жұмыстың индикаторларына электронды оқу құралын жасау, оқу құралын шығару, ашық сабақтар өткізу, пәндер бойынша әдістемелік нұсқаулар шығару жұмыстары кіреді.</w:t>
      </w:r>
    </w:p>
    <w:p w:rsidR="00017E4E" w:rsidRPr="00017E4E" w:rsidRDefault="00017E4E" w:rsidP="00017E4E">
      <w:pPr>
        <w:autoSpaceDE w:val="0"/>
        <w:autoSpaceDN w:val="0"/>
        <w:adjustRightInd w:val="0"/>
        <w:ind w:left="0" w:firstLine="567"/>
        <w:rPr>
          <w:szCs w:val="28"/>
        </w:rPr>
      </w:pPr>
      <w:r w:rsidRPr="00017E4E">
        <w:rPr>
          <w:szCs w:val="28"/>
        </w:rPr>
        <w:t>1.6 ББ жетістіктерінің сипаттамасы:</w:t>
      </w:r>
    </w:p>
    <w:p w:rsidR="00017E4E" w:rsidRPr="00017E4E" w:rsidRDefault="00017E4E" w:rsidP="00017E4E">
      <w:pPr>
        <w:autoSpaceDE w:val="0"/>
        <w:autoSpaceDN w:val="0"/>
        <w:adjustRightInd w:val="0"/>
        <w:ind w:left="0" w:firstLine="567"/>
        <w:rPr>
          <w:szCs w:val="28"/>
        </w:rPr>
      </w:pPr>
      <w:r w:rsidRPr="00017E4E">
        <w:rPr>
          <w:szCs w:val="28"/>
        </w:rPr>
        <w:t>-білім беру бағдарламасын дамыту жоспарлары педагогика Жоғары мектебінің оқу-әдістемелік кеңесінде барлық мүдделі тараптардың өкілдерімен Ашық талқылаудан өтеді;</w:t>
      </w:r>
    </w:p>
    <w:p w:rsidR="00017E4E" w:rsidRPr="00017E4E" w:rsidRDefault="00017E4E" w:rsidP="00017E4E">
      <w:pPr>
        <w:autoSpaceDE w:val="0"/>
        <w:autoSpaceDN w:val="0"/>
        <w:adjustRightInd w:val="0"/>
        <w:ind w:left="0" w:firstLine="567"/>
        <w:rPr>
          <w:szCs w:val="28"/>
        </w:rPr>
      </w:pPr>
      <w:r w:rsidRPr="00017E4E">
        <w:rPr>
          <w:szCs w:val="28"/>
        </w:rPr>
        <w:t>- бағдарламаны дамытудың бірегейлігі мен даралығы, оның білім беру ұйымының ұлттық, өңірлік басымдықтарымен және даму стратегиясымен келісілуі қамтамасыз етілді;</w:t>
      </w:r>
    </w:p>
    <w:p w:rsidR="00017E4E" w:rsidRPr="00017E4E" w:rsidRDefault="00017E4E" w:rsidP="00017E4E">
      <w:pPr>
        <w:autoSpaceDE w:val="0"/>
        <w:autoSpaceDN w:val="0"/>
        <w:adjustRightInd w:val="0"/>
        <w:ind w:left="0" w:firstLine="567"/>
        <w:rPr>
          <w:szCs w:val="28"/>
        </w:rPr>
      </w:pPr>
      <w:r w:rsidRPr="00017E4E">
        <w:rPr>
          <w:szCs w:val="28"/>
        </w:rPr>
        <w:t>- жұмыс берушілердің мүдделері мен білім алушылардың қажеттіліктерін ескере отырып, білім беру бағдарламаларын жыл сайын жаңартып отыру;</w:t>
      </w:r>
    </w:p>
    <w:p w:rsidR="00017E4E" w:rsidRPr="00017E4E" w:rsidRDefault="00017E4E" w:rsidP="00017E4E">
      <w:pPr>
        <w:autoSpaceDE w:val="0"/>
        <w:autoSpaceDN w:val="0"/>
        <w:adjustRightInd w:val="0"/>
        <w:ind w:left="0" w:firstLine="567"/>
        <w:rPr>
          <w:szCs w:val="28"/>
        </w:rPr>
      </w:pPr>
      <w:r w:rsidRPr="00017E4E">
        <w:rPr>
          <w:szCs w:val="28"/>
        </w:rPr>
        <w:t>- ПОҚ біліктілігін және кәсіби деңгейін арттырудың тұрақты жүйесін ұйымдастыру;</w:t>
      </w:r>
    </w:p>
    <w:p w:rsidR="00017E4E" w:rsidRPr="00017E4E" w:rsidRDefault="00017E4E" w:rsidP="00017E4E">
      <w:pPr>
        <w:autoSpaceDE w:val="0"/>
        <w:autoSpaceDN w:val="0"/>
        <w:adjustRightInd w:val="0"/>
        <w:ind w:left="0" w:firstLine="567"/>
        <w:rPr>
          <w:szCs w:val="28"/>
        </w:rPr>
      </w:pPr>
      <w:r w:rsidRPr="00017E4E">
        <w:rPr>
          <w:szCs w:val="28"/>
        </w:rPr>
        <w:t>- барлық қызмет түрлері (оқу, әдістемелік, ғылыми, тәрбие және т. б.) бойынша ПОҚ жұмысын жеке жоспарлаудың барабарлығы, жеке жоспарлардың нәтижелілігі мен тиімділігіне мониторинг жүргізу;</w:t>
      </w:r>
    </w:p>
    <w:p w:rsidR="00017E4E" w:rsidRPr="00017E4E" w:rsidRDefault="00017E4E" w:rsidP="00017E4E">
      <w:pPr>
        <w:autoSpaceDE w:val="0"/>
        <w:autoSpaceDN w:val="0"/>
        <w:adjustRightInd w:val="0"/>
        <w:ind w:left="0" w:firstLine="567"/>
        <w:rPr>
          <w:szCs w:val="28"/>
        </w:rPr>
      </w:pPr>
      <w:r w:rsidRPr="00017E4E">
        <w:rPr>
          <w:szCs w:val="28"/>
        </w:rPr>
        <w:t>- ОПҚ қанағаттанушылық мониторингін қамтамасыз ету;</w:t>
      </w:r>
    </w:p>
    <w:p w:rsidR="00017E4E" w:rsidRPr="00017E4E" w:rsidRDefault="00017E4E" w:rsidP="00017E4E">
      <w:pPr>
        <w:autoSpaceDE w:val="0"/>
        <w:autoSpaceDN w:val="0"/>
        <w:adjustRightInd w:val="0"/>
        <w:ind w:left="0" w:firstLine="567"/>
        <w:rPr>
          <w:szCs w:val="28"/>
        </w:rPr>
      </w:pPr>
      <w:r w:rsidRPr="00017E4E">
        <w:rPr>
          <w:szCs w:val="28"/>
        </w:rPr>
        <w:t>- оқу үдерісі барысында жұмыс берушілермен ынтымақтастық (ғылыми жұмыстарға басшылық жасау және рецензиялау, т. б.), білім беру қызметтерінің сапасы туралы пікірлерді анықтау мақсатында жұмыс берушілермен сауалнама жүргізу;</w:t>
      </w:r>
    </w:p>
    <w:p w:rsidR="00017E4E" w:rsidRPr="00017E4E" w:rsidRDefault="00017E4E" w:rsidP="00017E4E">
      <w:pPr>
        <w:autoSpaceDE w:val="0"/>
        <w:autoSpaceDN w:val="0"/>
        <w:adjustRightInd w:val="0"/>
        <w:ind w:left="0" w:firstLine="567"/>
        <w:rPr>
          <w:szCs w:val="28"/>
        </w:rPr>
      </w:pPr>
      <w:r w:rsidRPr="00017E4E">
        <w:rPr>
          <w:szCs w:val="28"/>
        </w:rPr>
        <w:t>-тегін Wi-Fi болуы;</w:t>
      </w:r>
    </w:p>
    <w:p w:rsidR="00017E4E" w:rsidRPr="00017E4E" w:rsidRDefault="00017E4E" w:rsidP="00017E4E">
      <w:pPr>
        <w:autoSpaceDE w:val="0"/>
        <w:autoSpaceDN w:val="0"/>
        <w:adjustRightInd w:val="0"/>
        <w:ind w:left="0" w:firstLine="567"/>
        <w:rPr>
          <w:szCs w:val="28"/>
        </w:rPr>
      </w:pPr>
      <w:r w:rsidRPr="00017E4E">
        <w:rPr>
          <w:szCs w:val="28"/>
        </w:rPr>
        <w:t>- электрондық білім беру ресурстарының болуы;</w:t>
      </w:r>
    </w:p>
    <w:p w:rsidR="00C4667C" w:rsidRDefault="00017E4E" w:rsidP="00017E4E">
      <w:pPr>
        <w:autoSpaceDE w:val="0"/>
        <w:autoSpaceDN w:val="0"/>
        <w:adjustRightInd w:val="0"/>
        <w:ind w:left="0" w:firstLine="567"/>
        <w:rPr>
          <w:szCs w:val="28"/>
        </w:rPr>
      </w:pPr>
      <w:r w:rsidRPr="00017E4E">
        <w:rPr>
          <w:szCs w:val="28"/>
        </w:rPr>
        <w:t>- білім беру бағдарламасының барлық пәндері бойынша ПОӘК болуы және жинақталуы.</w:t>
      </w:r>
      <w:r w:rsidR="00C4667C">
        <w:rPr>
          <w:b/>
          <w:bCs/>
          <w:szCs w:val="28"/>
        </w:rPr>
        <w:t xml:space="preserve"> </w:t>
      </w:r>
    </w:p>
    <w:p w:rsidR="00017E4E" w:rsidRDefault="00017E4E" w:rsidP="00C4667C">
      <w:pPr>
        <w:ind w:firstLine="709"/>
        <w:rPr>
          <w:rFonts w:eastAsia="SimSun"/>
          <w:b/>
          <w:szCs w:val="28"/>
        </w:rPr>
      </w:pPr>
    </w:p>
    <w:p w:rsidR="00017E4E" w:rsidRDefault="00017E4E" w:rsidP="00C4667C">
      <w:pPr>
        <w:ind w:firstLine="709"/>
        <w:rPr>
          <w:rFonts w:eastAsia="SimSun"/>
          <w:b/>
          <w:szCs w:val="28"/>
        </w:rPr>
      </w:pPr>
    </w:p>
    <w:p w:rsidR="00C4667C" w:rsidRDefault="00017E4E" w:rsidP="00C4667C">
      <w:pPr>
        <w:autoSpaceDE w:val="0"/>
        <w:autoSpaceDN w:val="0"/>
        <w:adjustRightInd w:val="0"/>
        <w:jc w:val="center"/>
        <w:rPr>
          <w:rFonts w:eastAsia="SimSun"/>
          <w:b/>
          <w:szCs w:val="28"/>
        </w:rPr>
      </w:pPr>
      <w:r w:rsidRPr="00017E4E">
        <w:rPr>
          <w:rFonts w:eastAsia="SimSun"/>
          <w:b/>
          <w:szCs w:val="28"/>
        </w:rPr>
        <w:t>2 білім беру бағдарламасын дамыту жоспары:</w:t>
      </w:r>
    </w:p>
    <w:p w:rsidR="00017E4E" w:rsidRDefault="00017E4E" w:rsidP="00C4667C">
      <w:pPr>
        <w:autoSpaceDE w:val="0"/>
        <w:autoSpaceDN w:val="0"/>
        <w:adjustRightInd w:val="0"/>
        <w:jc w:val="center"/>
        <w:rPr>
          <w:rFonts w:eastAsia="SimSun"/>
          <w:szCs w:val="28"/>
        </w:rPr>
      </w:pPr>
    </w:p>
    <w:tbl>
      <w:tblPr>
        <w:tblW w:w="9735" w:type="dxa"/>
        <w:tblInd w:w="-31" w:type="dxa"/>
        <w:tblLayout w:type="fixed"/>
        <w:tblCellMar>
          <w:left w:w="61" w:type="dxa"/>
          <w:right w:w="61" w:type="dxa"/>
        </w:tblCellMar>
        <w:tblLook w:val="04A0" w:firstRow="1" w:lastRow="0" w:firstColumn="1" w:lastColumn="0" w:noHBand="0" w:noVBand="1"/>
      </w:tblPr>
      <w:tblGrid>
        <w:gridCol w:w="444"/>
        <w:gridCol w:w="1915"/>
        <w:gridCol w:w="1561"/>
        <w:gridCol w:w="1702"/>
        <w:gridCol w:w="4113"/>
      </w:tblGrid>
      <w:tr w:rsidR="00C4667C" w:rsidTr="00C4667C">
        <w:trPr>
          <w:trHeight w:val="662"/>
        </w:trPr>
        <w:tc>
          <w:tcPr>
            <w:tcW w:w="445"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jc w:val="center"/>
              <w:rPr>
                <w:rFonts w:eastAsia="SimSun"/>
                <w:b/>
                <w:bCs/>
                <w:sz w:val="20"/>
                <w:szCs w:val="20"/>
              </w:rPr>
            </w:pPr>
            <w:r>
              <w:rPr>
                <w:rFonts w:eastAsia="SimSun"/>
                <w:b/>
                <w:bCs/>
                <w:sz w:val="20"/>
                <w:szCs w:val="20"/>
              </w:rPr>
              <w:t>№</w:t>
            </w:r>
          </w:p>
          <w:p w:rsidR="00C4667C" w:rsidRDefault="00C4667C">
            <w:pPr>
              <w:autoSpaceDE w:val="0"/>
              <w:autoSpaceDN w:val="0"/>
              <w:adjustRightInd w:val="0"/>
              <w:spacing w:after="0" w:line="240" w:lineRule="auto"/>
              <w:ind w:left="0" w:firstLine="0"/>
              <w:jc w:val="center"/>
              <w:rPr>
                <w:rFonts w:eastAsia="SimSun"/>
                <w:b/>
                <w:bCs/>
                <w:sz w:val="20"/>
                <w:szCs w:val="20"/>
              </w:rPr>
            </w:pPr>
            <w:r>
              <w:rPr>
                <w:rFonts w:eastAsia="SimSun"/>
                <w:b/>
                <w:bCs/>
                <w:sz w:val="20"/>
                <w:szCs w:val="20"/>
              </w:rPr>
              <w:t>п/п</w:t>
            </w:r>
          </w:p>
        </w:tc>
        <w:tc>
          <w:tcPr>
            <w:tcW w:w="1914" w:type="dxa"/>
            <w:tcBorders>
              <w:top w:val="single" w:sz="6" w:space="0" w:color="000000"/>
              <w:left w:val="single" w:sz="6" w:space="0" w:color="000000"/>
              <w:bottom w:val="single" w:sz="6" w:space="0" w:color="auto"/>
              <w:right w:val="single" w:sz="6" w:space="0" w:color="000000"/>
            </w:tcBorders>
            <w:vAlign w:val="center"/>
            <w:hideMark/>
          </w:tcPr>
          <w:p w:rsidR="00C4667C" w:rsidRDefault="00C4667C">
            <w:pPr>
              <w:autoSpaceDE w:val="0"/>
              <w:autoSpaceDN w:val="0"/>
              <w:adjustRightInd w:val="0"/>
              <w:spacing w:after="0" w:line="240" w:lineRule="auto"/>
              <w:ind w:left="0" w:firstLine="0"/>
              <w:jc w:val="center"/>
              <w:rPr>
                <w:rFonts w:eastAsia="SimSun"/>
                <w:b/>
                <w:bCs/>
                <w:sz w:val="20"/>
                <w:szCs w:val="20"/>
              </w:rPr>
            </w:pPr>
            <w:r>
              <w:rPr>
                <w:rFonts w:eastAsia="SimSun"/>
                <w:b/>
                <w:bCs/>
                <w:sz w:val="20"/>
                <w:szCs w:val="20"/>
              </w:rPr>
              <w:t>Мероприятия</w:t>
            </w:r>
          </w:p>
        </w:tc>
        <w:tc>
          <w:tcPr>
            <w:tcW w:w="1560"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jc w:val="center"/>
              <w:rPr>
                <w:rFonts w:eastAsia="SimSun"/>
                <w:b/>
                <w:bCs/>
                <w:sz w:val="20"/>
                <w:szCs w:val="20"/>
              </w:rPr>
            </w:pPr>
            <w:r>
              <w:rPr>
                <w:rFonts w:eastAsia="SimSun"/>
                <w:b/>
                <w:bCs/>
                <w:sz w:val="20"/>
                <w:szCs w:val="20"/>
              </w:rPr>
              <w:t>Срок исполнения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C4667C" w:rsidRDefault="00C4667C">
            <w:pPr>
              <w:autoSpaceDE w:val="0"/>
              <w:autoSpaceDN w:val="0"/>
              <w:adjustRightInd w:val="0"/>
              <w:spacing w:after="0" w:line="240" w:lineRule="auto"/>
              <w:ind w:left="0" w:firstLine="0"/>
              <w:jc w:val="center"/>
              <w:rPr>
                <w:rFonts w:eastAsia="SimSun"/>
                <w:b/>
                <w:bCs/>
                <w:sz w:val="20"/>
                <w:szCs w:val="20"/>
              </w:rPr>
            </w:pPr>
            <w:r>
              <w:rPr>
                <w:rFonts w:eastAsia="SimSun"/>
                <w:b/>
                <w:bCs/>
                <w:sz w:val="20"/>
                <w:szCs w:val="20"/>
              </w:rPr>
              <w:t>Ответственные</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jc w:val="center"/>
              <w:rPr>
                <w:rFonts w:eastAsia="SimSun"/>
                <w:b/>
                <w:bCs/>
                <w:sz w:val="20"/>
                <w:szCs w:val="20"/>
              </w:rPr>
            </w:pPr>
            <w:r>
              <w:rPr>
                <w:rFonts w:eastAsia="SimSun"/>
                <w:b/>
                <w:bCs/>
                <w:sz w:val="20"/>
                <w:szCs w:val="20"/>
              </w:rPr>
              <w:t>Механизм</w:t>
            </w:r>
          </w:p>
          <w:p w:rsidR="00C4667C" w:rsidRDefault="00C4667C">
            <w:pPr>
              <w:autoSpaceDE w:val="0"/>
              <w:autoSpaceDN w:val="0"/>
              <w:adjustRightInd w:val="0"/>
              <w:spacing w:after="0" w:line="240" w:lineRule="auto"/>
              <w:ind w:left="0" w:firstLine="0"/>
              <w:jc w:val="center"/>
              <w:rPr>
                <w:rFonts w:eastAsia="SimSun"/>
                <w:b/>
                <w:bCs/>
                <w:sz w:val="20"/>
                <w:szCs w:val="20"/>
              </w:rPr>
            </w:pPr>
            <w:r>
              <w:rPr>
                <w:rFonts w:eastAsia="SimSun"/>
                <w:b/>
                <w:bCs/>
                <w:sz w:val="20"/>
                <w:szCs w:val="20"/>
              </w:rPr>
              <w:t>реализации</w:t>
            </w:r>
          </w:p>
        </w:tc>
      </w:tr>
      <w:tr w:rsidR="00C4667C" w:rsidTr="00C4667C">
        <w:trPr>
          <w:trHeight w:val="59"/>
        </w:trPr>
        <w:tc>
          <w:tcPr>
            <w:tcW w:w="445" w:type="dxa"/>
            <w:vMerge w:val="restart"/>
            <w:tcBorders>
              <w:top w:val="single" w:sz="6" w:space="0" w:color="000000"/>
              <w:left w:val="single" w:sz="6" w:space="0" w:color="000000"/>
              <w:bottom w:val="single" w:sz="6" w:space="0" w:color="000000"/>
              <w:right w:val="single" w:sz="6" w:space="0" w:color="auto"/>
            </w:tcBorders>
          </w:tcPr>
          <w:p w:rsidR="00C4667C" w:rsidRDefault="00C4667C">
            <w:pPr>
              <w:autoSpaceDE w:val="0"/>
              <w:autoSpaceDN w:val="0"/>
              <w:adjustRightInd w:val="0"/>
              <w:spacing w:after="0" w:line="240" w:lineRule="auto"/>
              <w:ind w:left="0" w:firstLine="0"/>
              <w:rPr>
                <w:rFonts w:eastAsia="SimSun"/>
                <w:sz w:val="20"/>
                <w:szCs w:val="20"/>
              </w:rPr>
            </w:pPr>
          </w:p>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1</w:t>
            </w:r>
          </w:p>
        </w:tc>
        <w:tc>
          <w:tcPr>
            <w:tcW w:w="1914" w:type="dxa"/>
            <w:vMerge w:val="restart"/>
            <w:tcBorders>
              <w:top w:val="single" w:sz="6" w:space="0" w:color="auto"/>
              <w:left w:val="single" w:sz="6" w:space="0" w:color="auto"/>
              <w:bottom w:val="single" w:sz="6" w:space="0" w:color="auto"/>
              <w:right w:val="single" w:sz="6" w:space="0" w:color="auto"/>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Внешняяоценкакачествадеятельностивузаиудовлетворенностипотребителейобразовательныхуслуг</w:t>
            </w:r>
          </w:p>
        </w:tc>
        <w:tc>
          <w:tcPr>
            <w:tcW w:w="1560" w:type="dxa"/>
            <w:tcBorders>
              <w:top w:val="single" w:sz="6" w:space="0" w:color="000000"/>
              <w:left w:val="single" w:sz="6" w:space="0" w:color="auto"/>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Май 2021 г. </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Жапарова Б.М., Боталова О.Б.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Подготовка к аккредитационному мониторингу результатов реализации образовательной программы</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C4667C" w:rsidRDefault="00C4667C">
            <w:pPr>
              <w:spacing w:after="0" w:line="240" w:lineRule="auto"/>
              <w:ind w:left="0" w:firstLine="0"/>
              <w:jc w:val="left"/>
              <w:rPr>
                <w:rFonts w:eastAsia="SimSun"/>
                <w:sz w:val="20"/>
                <w:szCs w:val="20"/>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C4667C" w:rsidRDefault="00C4667C">
            <w:pPr>
              <w:spacing w:after="0" w:line="240" w:lineRule="auto"/>
              <w:ind w:left="0" w:firstLine="0"/>
              <w:jc w:val="left"/>
              <w:rPr>
                <w:rFonts w:eastAsia="SimSun"/>
                <w:sz w:val="20"/>
                <w:szCs w:val="20"/>
              </w:rPr>
            </w:pPr>
          </w:p>
        </w:tc>
        <w:tc>
          <w:tcPr>
            <w:tcW w:w="1560" w:type="dxa"/>
            <w:tcBorders>
              <w:top w:val="single" w:sz="6" w:space="0" w:color="000000"/>
              <w:left w:val="single" w:sz="6" w:space="0" w:color="auto"/>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Ноябрь 2020,</w:t>
            </w:r>
          </w:p>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декабрь 2021 г.</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Жапарова Б.М., Боталова О.Б.</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 Призовые места в национальном рейтинге</w:t>
            </w:r>
          </w:p>
        </w:tc>
      </w:tr>
      <w:tr w:rsidR="00C4667C" w:rsidTr="00C4667C">
        <w:trPr>
          <w:trHeight w:val="386"/>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2</w:t>
            </w:r>
          </w:p>
        </w:tc>
        <w:tc>
          <w:tcPr>
            <w:tcW w:w="1914" w:type="dxa"/>
            <w:vMerge w:val="restart"/>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Профессиональнаяориентацияагитацияранняяпрофилизацияучащихсяшколлицеевколледжейнапрофессиюучителя</w:t>
            </w:r>
          </w:p>
        </w:tc>
        <w:tc>
          <w:tcPr>
            <w:tcW w:w="1560"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Ежегодно</w:t>
            </w:r>
          </w:p>
          <w:p w:rsidR="00C4667C" w:rsidRDefault="00C4667C">
            <w:pPr>
              <w:autoSpaceDE w:val="0"/>
              <w:autoSpaceDN w:val="0"/>
              <w:adjustRightInd w:val="0"/>
              <w:spacing w:after="0" w:line="240" w:lineRule="auto"/>
              <w:ind w:left="0" w:firstLine="0"/>
              <w:rPr>
                <w:rFonts w:eastAsia="SimSun"/>
                <w:sz w:val="20"/>
                <w:szCs w:val="20"/>
              </w:rPr>
            </w:pPr>
          </w:p>
        </w:tc>
        <w:tc>
          <w:tcPr>
            <w:tcW w:w="1701"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ППС </w:t>
            </w:r>
          </w:p>
          <w:p w:rsidR="00C4667C" w:rsidRDefault="00C4667C">
            <w:pPr>
              <w:autoSpaceDE w:val="0"/>
              <w:autoSpaceDN w:val="0"/>
              <w:adjustRightInd w:val="0"/>
              <w:spacing w:after="0" w:line="240" w:lineRule="auto"/>
              <w:ind w:left="0" w:firstLine="0"/>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Доля охвата </w:t>
            </w:r>
            <w:r>
              <w:rPr>
                <w:rFonts w:eastAsia="SimSun"/>
                <w:sz w:val="20"/>
                <w:szCs w:val="20"/>
                <w:lang w:val="kk-KZ"/>
              </w:rPr>
              <w:t>учреждений образования</w:t>
            </w:r>
            <w:r>
              <w:rPr>
                <w:rFonts w:eastAsia="SimSun"/>
                <w:sz w:val="20"/>
                <w:szCs w:val="20"/>
              </w:rPr>
              <w:t xml:space="preserve"> профориентационными мероприятиями до 100%</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914"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Ежегодное формирование базы выпускников-бакалавров </w:t>
            </w:r>
            <w:r>
              <w:rPr>
                <w:rFonts w:eastAsia="SimSun"/>
                <w:kern w:val="2"/>
                <w:sz w:val="20"/>
                <w:szCs w:val="20"/>
                <w:lang w:val="kk-KZ"/>
              </w:rPr>
              <w:t>педагогических вызов</w:t>
            </w:r>
            <w:r>
              <w:rPr>
                <w:rFonts w:eastAsia="SimSun"/>
                <w:kern w:val="2"/>
                <w:sz w:val="20"/>
                <w:szCs w:val="20"/>
              </w:rPr>
              <w:t>, поступающих в магистратуру</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914"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Проведение </w:t>
            </w:r>
            <w:r>
              <w:rPr>
                <w:rFonts w:eastAsia="SimSun"/>
                <w:sz w:val="20"/>
                <w:szCs w:val="20"/>
              </w:rPr>
              <w:t xml:space="preserve">профориентационной работы в социальных сетях </w:t>
            </w:r>
            <w:r>
              <w:rPr>
                <w:rFonts w:eastAsia="SimSun"/>
                <w:sz w:val="20"/>
                <w:szCs w:val="20"/>
                <w:lang w:val="en-US"/>
              </w:rPr>
              <w:t>Instagram</w:t>
            </w:r>
            <w:r>
              <w:rPr>
                <w:rFonts w:eastAsia="SimSun"/>
                <w:sz w:val="20"/>
                <w:szCs w:val="20"/>
              </w:rPr>
              <w:t>,</w:t>
            </w:r>
            <w:r>
              <w:rPr>
                <w:rFonts w:eastAsia="Calibri"/>
                <w:b/>
                <w:bCs/>
                <w:sz w:val="20"/>
                <w:szCs w:val="20"/>
                <w:shd w:val="clear" w:color="auto" w:fill="FFFFFF"/>
                <w:lang w:eastAsia="en-US"/>
              </w:rPr>
              <w:t xml:space="preserve"> </w:t>
            </w:r>
            <w:r>
              <w:rPr>
                <w:rFonts w:eastAsia="SimSun"/>
                <w:bCs/>
                <w:sz w:val="20"/>
                <w:szCs w:val="20"/>
              </w:rPr>
              <w:t>vk.com</w:t>
            </w:r>
          </w:p>
        </w:tc>
      </w:tr>
      <w:tr w:rsidR="00C4667C" w:rsidTr="00C4667C">
        <w:trPr>
          <w:trHeight w:val="386"/>
        </w:trPr>
        <w:tc>
          <w:tcPr>
            <w:tcW w:w="445"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p>
        </w:tc>
        <w:tc>
          <w:tcPr>
            <w:tcW w:w="1914" w:type="dxa"/>
            <w:vMerge w:val="restart"/>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Обеспечениерынкатрудаконкурентоспос</w:t>
            </w:r>
            <w:r>
              <w:rPr>
                <w:rFonts w:eastAsia="SimSun"/>
                <w:kern w:val="2"/>
                <w:sz w:val="20"/>
                <w:szCs w:val="20"/>
              </w:rPr>
              <w:lastRenderedPageBreak/>
              <w:t>обнымиспециалистами</w:t>
            </w:r>
          </w:p>
        </w:tc>
        <w:tc>
          <w:tcPr>
            <w:tcW w:w="1560"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lastRenderedPageBreak/>
              <w:t>Ежегодно</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ППС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Доля </w:t>
            </w:r>
            <w:r>
              <w:rPr>
                <w:rFonts w:eastAsia="SimSun"/>
                <w:kern w:val="2"/>
                <w:sz w:val="20"/>
                <w:szCs w:val="20"/>
                <w:lang w:val="kk-KZ"/>
              </w:rPr>
              <w:t>магистрантов</w:t>
            </w:r>
            <w:r>
              <w:rPr>
                <w:rFonts w:eastAsia="SimSun"/>
                <w:kern w:val="2"/>
                <w:sz w:val="20"/>
                <w:szCs w:val="20"/>
              </w:rPr>
              <w:t xml:space="preserve">, обучившихся по государственному образовательному заказу, </w:t>
            </w:r>
            <w:r>
              <w:rPr>
                <w:rFonts w:eastAsia="SimSun"/>
                <w:kern w:val="2"/>
                <w:sz w:val="20"/>
                <w:szCs w:val="20"/>
              </w:rPr>
              <w:lastRenderedPageBreak/>
              <w:t>трудоустроенных в первый год после окончания вуза по специальности до 90%</w:t>
            </w:r>
          </w:p>
        </w:tc>
      </w:tr>
      <w:tr w:rsidR="00C4667C" w:rsidTr="00C4667C">
        <w:trPr>
          <w:trHeight w:val="427"/>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914"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Ежегодно </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ППС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tabs>
                <w:tab w:val="left" w:pos="1026"/>
              </w:tabs>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Успеваемость студентов до 97%</w:t>
            </w:r>
          </w:p>
        </w:tc>
      </w:tr>
      <w:tr w:rsidR="00C4667C" w:rsidTr="00C4667C">
        <w:trPr>
          <w:trHeight w:val="386"/>
        </w:trPr>
        <w:tc>
          <w:tcPr>
            <w:tcW w:w="445" w:type="dxa"/>
            <w:vMerge w:val="restart"/>
            <w:tcBorders>
              <w:top w:val="single" w:sz="6" w:space="0" w:color="000000"/>
              <w:left w:val="single" w:sz="6" w:space="0" w:color="000000"/>
              <w:bottom w:val="nil"/>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p>
          <w:p w:rsidR="00C4667C" w:rsidRDefault="00C4667C">
            <w:pPr>
              <w:autoSpaceDE w:val="0"/>
              <w:autoSpaceDN w:val="0"/>
              <w:adjustRightInd w:val="0"/>
              <w:spacing w:after="0" w:line="240" w:lineRule="auto"/>
              <w:ind w:left="0" w:firstLine="0"/>
              <w:rPr>
                <w:rFonts w:eastAsia="SimSun"/>
                <w:sz w:val="20"/>
                <w:szCs w:val="20"/>
              </w:rPr>
            </w:pPr>
          </w:p>
        </w:tc>
        <w:tc>
          <w:tcPr>
            <w:tcW w:w="1914" w:type="dxa"/>
            <w:vMerge w:val="restart"/>
            <w:tcBorders>
              <w:top w:val="single" w:sz="6" w:space="0" w:color="000000"/>
              <w:left w:val="single" w:sz="6" w:space="0" w:color="000000"/>
              <w:bottom w:val="nil"/>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Модернизация содержания высшего образования в контексте мировых тенденций</w:t>
            </w:r>
          </w:p>
        </w:tc>
        <w:tc>
          <w:tcPr>
            <w:tcW w:w="1560" w:type="dxa"/>
            <w:tcBorders>
              <w:top w:val="single" w:sz="6" w:space="0" w:color="000000"/>
              <w:left w:val="single" w:sz="6" w:space="0" w:color="000000"/>
              <w:bottom w:val="single" w:sz="6" w:space="0" w:color="auto"/>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rPr>
              <w:t>Июнь 20</w:t>
            </w:r>
            <w:r>
              <w:rPr>
                <w:rFonts w:eastAsia="SimSun"/>
                <w:sz w:val="20"/>
                <w:szCs w:val="20"/>
                <w:lang w:val="kk-KZ"/>
              </w:rPr>
              <w:t>20</w:t>
            </w:r>
            <w:r>
              <w:rPr>
                <w:rFonts w:eastAsia="SimSun"/>
                <w:sz w:val="20"/>
                <w:szCs w:val="20"/>
              </w:rPr>
              <w:t xml:space="preserve"> г</w:t>
            </w:r>
            <w:r>
              <w:rPr>
                <w:rFonts w:eastAsia="SimSun"/>
                <w:sz w:val="20"/>
                <w:szCs w:val="20"/>
                <w:lang w:val="kk-KZ"/>
              </w:rPr>
              <w:t>.</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 xml:space="preserve">Жапарова Б.М..,  Боталова О.Б., Ахмульдинова А.Н.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Образовательная программа, разработанная на основе профессиональных стандартов</w:t>
            </w:r>
          </w:p>
        </w:tc>
      </w:tr>
      <w:tr w:rsidR="00C4667C" w:rsidTr="00C4667C">
        <w:trPr>
          <w:trHeight w:val="386"/>
        </w:trPr>
        <w:tc>
          <w:tcPr>
            <w:tcW w:w="445" w:type="dxa"/>
            <w:vMerge/>
            <w:tcBorders>
              <w:top w:val="single" w:sz="6" w:space="0" w:color="000000"/>
              <w:left w:val="single" w:sz="6" w:space="0" w:color="000000"/>
              <w:bottom w:val="nil"/>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914" w:type="dxa"/>
            <w:vMerge/>
            <w:tcBorders>
              <w:top w:val="single" w:sz="6" w:space="0" w:color="000000"/>
              <w:left w:val="single" w:sz="6" w:space="0" w:color="000000"/>
              <w:bottom w:val="nil"/>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rPr>
              <w:t>Июнь 20</w:t>
            </w:r>
            <w:r>
              <w:rPr>
                <w:rFonts w:eastAsia="SimSun"/>
                <w:sz w:val="20"/>
                <w:szCs w:val="20"/>
                <w:lang w:val="kk-KZ"/>
              </w:rPr>
              <w:t>20</w:t>
            </w:r>
            <w:r>
              <w:rPr>
                <w:rFonts w:eastAsia="SimSun"/>
                <w:sz w:val="20"/>
                <w:szCs w:val="20"/>
              </w:rPr>
              <w:t xml:space="preserve"> г</w:t>
            </w:r>
            <w:r>
              <w:rPr>
                <w:rFonts w:eastAsia="SimSun"/>
                <w:sz w:val="20"/>
                <w:szCs w:val="20"/>
                <w:lang w:val="kk-KZ"/>
              </w:rPr>
              <w:t>.</w:t>
            </w:r>
          </w:p>
        </w:tc>
        <w:tc>
          <w:tcPr>
            <w:tcW w:w="1701" w:type="dxa"/>
            <w:tcBorders>
              <w:top w:val="single" w:sz="6" w:space="0" w:color="000000"/>
              <w:left w:val="single" w:sz="6" w:space="0" w:color="auto"/>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Жапарова Б.М.. Кененбаева М.А., Осипова С.В., Жумашева А.Ш., Асенова ОН.С., Боталова О.Б.</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3 обновленных элективных дисциплин, введённых в образовательные программы с учетом рекомендаций работодателей </w:t>
            </w:r>
          </w:p>
        </w:tc>
      </w:tr>
      <w:tr w:rsidR="00C4667C" w:rsidTr="00C4667C">
        <w:trPr>
          <w:trHeight w:val="1477"/>
        </w:trPr>
        <w:tc>
          <w:tcPr>
            <w:tcW w:w="445" w:type="dxa"/>
            <w:vMerge/>
            <w:tcBorders>
              <w:top w:val="single" w:sz="6" w:space="0" w:color="000000"/>
              <w:left w:val="single" w:sz="6" w:space="0" w:color="000000"/>
              <w:bottom w:val="nil"/>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914" w:type="dxa"/>
            <w:vMerge/>
            <w:tcBorders>
              <w:top w:val="single" w:sz="6" w:space="0" w:color="000000"/>
              <w:left w:val="single" w:sz="6" w:space="0" w:color="000000"/>
              <w:bottom w:val="nil"/>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560" w:type="dxa"/>
            <w:tcBorders>
              <w:top w:val="single" w:sz="6" w:space="0" w:color="auto"/>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январь</w:t>
            </w:r>
            <w:r>
              <w:rPr>
                <w:rFonts w:eastAsia="SimSun"/>
                <w:sz w:val="20"/>
                <w:szCs w:val="20"/>
              </w:rPr>
              <w:t xml:space="preserve"> 2020 г</w:t>
            </w:r>
            <w:r>
              <w:rPr>
                <w:rFonts w:eastAsia="SimSun"/>
                <w:sz w:val="20"/>
                <w:szCs w:val="20"/>
                <w:lang w:val="kk-KZ"/>
              </w:rPr>
              <w:t>.</w:t>
            </w:r>
          </w:p>
          <w:p w:rsidR="00C4667C" w:rsidRDefault="00C4667C">
            <w:pPr>
              <w:autoSpaceDE w:val="0"/>
              <w:autoSpaceDN w:val="0"/>
              <w:adjustRightInd w:val="0"/>
              <w:spacing w:after="0" w:line="240" w:lineRule="auto"/>
              <w:ind w:left="0" w:firstLine="0"/>
              <w:rPr>
                <w:rFonts w:eastAsia="SimSun"/>
                <w:sz w:val="20"/>
                <w:szCs w:val="20"/>
                <w:lang w:val="kk-KZ"/>
              </w:rPr>
            </w:pPr>
          </w:p>
          <w:p w:rsidR="00C4667C" w:rsidRDefault="00C4667C">
            <w:pPr>
              <w:autoSpaceDE w:val="0"/>
              <w:autoSpaceDN w:val="0"/>
              <w:adjustRightInd w:val="0"/>
              <w:spacing w:after="0" w:line="240" w:lineRule="auto"/>
              <w:ind w:left="0" w:firstLine="0"/>
              <w:rPr>
                <w:rFonts w:eastAsia="SimSun"/>
                <w:sz w:val="20"/>
                <w:szCs w:val="20"/>
                <w:lang w:val="kk-KZ"/>
              </w:rPr>
            </w:pPr>
          </w:p>
          <w:p w:rsidR="00C4667C" w:rsidRDefault="00C4667C">
            <w:pPr>
              <w:autoSpaceDE w:val="0"/>
              <w:autoSpaceDN w:val="0"/>
              <w:adjustRightInd w:val="0"/>
              <w:spacing w:after="0" w:line="240" w:lineRule="auto"/>
              <w:ind w:left="0" w:firstLine="0"/>
              <w:rPr>
                <w:rFonts w:eastAsia="SimSun"/>
                <w:sz w:val="20"/>
                <w:szCs w:val="20"/>
                <w:lang w:val="kk-KZ"/>
              </w:rPr>
            </w:pPr>
          </w:p>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май 2020 г.</w:t>
            </w:r>
          </w:p>
        </w:tc>
        <w:tc>
          <w:tcPr>
            <w:tcW w:w="1701" w:type="dxa"/>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Боталова О.Б., Аспанова Г.Р.</w:t>
            </w:r>
          </w:p>
          <w:p w:rsidR="00C4667C" w:rsidRDefault="00C4667C">
            <w:pPr>
              <w:autoSpaceDE w:val="0"/>
              <w:autoSpaceDN w:val="0"/>
              <w:adjustRightInd w:val="0"/>
              <w:spacing w:after="0" w:line="240" w:lineRule="auto"/>
              <w:ind w:left="0" w:firstLine="0"/>
              <w:rPr>
                <w:rFonts w:eastAsia="SimSun"/>
                <w:sz w:val="20"/>
                <w:szCs w:val="20"/>
              </w:rPr>
            </w:pPr>
          </w:p>
          <w:p w:rsidR="00C4667C" w:rsidRDefault="00C4667C">
            <w:pPr>
              <w:autoSpaceDE w:val="0"/>
              <w:autoSpaceDN w:val="0"/>
              <w:adjustRightInd w:val="0"/>
              <w:spacing w:after="0" w:line="240" w:lineRule="auto"/>
              <w:ind w:left="0" w:firstLine="0"/>
              <w:rPr>
                <w:rFonts w:eastAsia="SimSun"/>
                <w:sz w:val="20"/>
                <w:szCs w:val="20"/>
              </w:rPr>
            </w:pPr>
          </w:p>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Боталова О.Б., Аспанова Г.Р.</w:t>
            </w:r>
          </w:p>
        </w:tc>
        <w:tc>
          <w:tcPr>
            <w:tcW w:w="4111" w:type="dxa"/>
            <w:tcBorders>
              <w:top w:val="single" w:sz="6" w:space="0" w:color="000000"/>
              <w:left w:val="single" w:sz="6" w:space="0" w:color="000000"/>
              <w:bottom w:val="single" w:sz="6" w:space="0" w:color="000000"/>
              <w:right w:val="single" w:sz="6" w:space="0" w:color="000000"/>
            </w:tcBorders>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1. </w:t>
            </w:r>
            <w:r>
              <w:rPr>
                <w:sz w:val="20"/>
                <w:szCs w:val="20"/>
                <w:lang w:val="kk-KZ"/>
              </w:rPr>
              <w:t>Учебное пособие для магистрантов «</w:t>
            </w:r>
            <w:r>
              <w:rPr>
                <w:sz w:val="20"/>
                <w:szCs w:val="20"/>
              </w:rPr>
              <w:t>Методология и методика педагогических исследований</w:t>
            </w:r>
            <w:r>
              <w:rPr>
                <w:sz w:val="20"/>
                <w:szCs w:val="20"/>
                <w:lang w:val="kk-KZ"/>
              </w:rPr>
              <w:t>»</w:t>
            </w:r>
            <w:r>
              <w:rPr>
                <w:rFonts w:eastAsia="SimSun"/>
                <w:kern w:val="2"/>
                <w:sz w:val="20"/>
                <w:szCs w:val="20"/>
              </w:rPr>
              <w:t>;</w:t>
            </w:r>
          </w:p>
          <w:p w:rsidR="00C4667C" w:rsidRDefault="00C4667C">
            <w:pPr>
              <w:suppressAutoHyphens/>
              <w:autoSpaceDE w:val="0"/>
              <w:autoSpaceDN w:val="0"/>
              <w:adjustRightInd w:val="0"/>
              <w:spacing w:after="0" w:line="240" w:lineRule="auto"/>
              <w:ind w:left="0" w:firstLine="0"/>
              <w:rPr>
                <w:rFonts w:eastAsia="SimSun"/>
                <w:kern w:val="2"/>
                <w:sz w:val="20"/>
                <w:szCs w:val="20"/>
              </w:rPr>
            </w:pPr>
          </w:p>
          <w:p w:rsidR="00C4667C" w:rsidRDefault="00C4667C">
            <w:pPr>
              <w:suppressAutoHyphens/>
              <w:autoSpaceDE w:val="0"/>
              <w:autoSpaceDN w:val="0"/>
              <w:adjustRightInd w:val="0"/>
              <w:spacing w:after="0" w:line="240" w:lineRule="auto"/>
              <w:ind w:left="0" w:firstLine="0"/>
              <w:rPr>
                <w:rFonts w:eastAsia="SimSun"/>
                <w:kern w:val="2"/>
                <w:sz w:val="20"/>
                <w:szCs w:val="20"/>
                <w:lang w:val="kk-KZ"/>
              </w:rPr>
            </w:pPr>
            <w:r>
              <w:rPr>
                <w:rFonts w:eastAsia="SimSun"/>
                <w:kern w:val="2"/>
                <w:sz w:val="20"/>
                <w:szCs w:val="20"/>
                <w:lang w:val="kk-KZ"/>
              </w:rPr>
              <w:t xml:space="preserve">2. </w:t>
            </w:r>
            <w:r>
              <w:rPr>
                <w:sz w:val="20"/>
                <w:szCs w:val="20"/>
                <w:lang w:val="kk-KZ"/>
              </w:rPr>
              <w:t>Начальное образование за рубежом</w:t>
            </w:r>
            <w:r>
              <w:rPr>
                <w:rFonts w:eastAsia="SimSun"/>
                <w:kern w:val="2"/>
                <w:sz w:val="20"/>
                <w:szCs w:val="20"/>
                <w:lang w:val="kk-KZ"/>
              </w:rPr>
              <w:t>»</w:t>
            </w:r>
          </w:p>
        </w:tc>
      </w:tr>
      <w:tr w:rsidR="00C4667C" w:rsidTr="00C4667C">
        <w:trPr>
          <w:trHeight w:val="386"/>
        </w:trPr>
        <w:tc>
          <w:tcPr>
            <w:tcW w:w="445" w:type="dxa"/>
            <w:vMerge/>
            <w:tcBorders>
              <w:top w:val="single" w:sz="6" w:space="0" w:color="000000"/>
              <w:left w:val="single" w:sz="6" w:space="0" w:color="000000"/>
              <w:bottom w:val="nil"/>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914" w:type="dxa"/>
            <w:vMerge/>
            <w:tcBorders>
              <w:top w:val="single" w:sz="6" w:space="0" w:color="000000"/>
              <w:left w:val="single" w:sz="6" w:space="0" w:color="000000"/>
              <w:bottom w:val="nil"/>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560"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Постоянно</w:t>
            </w:r>
          </w:p>
        </w:tc>
        <w:tc>
          <w:tcPr>
            <w:tcW w:w="1701" w:type="dxa"/>
            <w:tcBorders>
              <w:top w:val="nil"/>
              <w:left w:val="single" w:sz="6" w:space="0" w:color="000000"/>
              <w:bottom w:val="nil"/>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Корректирование содержания образовательных программ с учетом перехода на обновленное содержание образования</w:t>
            </w:r>
          </w:p>
        </w:tc>
      </w:tr>
      <w:tr w:rsidR="00C4667C" w:rsidTr="00C4667C">
        <w:trPr>
          <w:trHeight w:val="386"/>
        </w:trPr>
        <w:tc>
          <w:tcPr>
            <w:tcW w:w="445"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6</w:t>
            </w:r>
          </w:p>
        </w:tc>
        <w:tc>
          <w:tcPr>
            <w:tcW w:w="1914" w:type="dxa"/>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Информационные и библиотечные ресурсы</w:t>
            </w:r>
          </w:p>
        </w:tc>
        <w:tc>
          <w:tcPr>
            <w:tcW w:w="1560"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Декабрь 2021</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Асенова Н.С. </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Количество разработанных цифровых образовательных: ресурсов </w:t>
            </w:r>
          </w:p>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 - электронное учебное издание</w:t>
            </w:r>
          </w:p>
        </w:tc>
      </w:tr>
      <w:tr w:rsidR="00C4667C" w:rsidTr="00C4667C">
        <w:trPr>
          <w:trHeight w:val="386"/>
        </w:trPr>
        <w:tc>
          <w:tcPr>
            <w:tcW w:w="445" w:type="dxa"/>
            <w:tcBorders>
              <w:top w:val="single" w:sz="6" w:space="0" w:color="000000"/>
              <w:left w:val="single" w:sz="6" w:space="0" w:color="000000"/>
              <w:bottom w:val="nil"/>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7</w:t>
            </w:r>
          </w:p>
        </w:tc>
        <w:tc>
          <w:tcPr>
            <w:tcW w:w="1914" w:type="dxa"/>
            <w:tcBorders>
              <w:top w:val="single" w:sz="6" w:space="0" w:color="000000"/>
              <w:left w:val="single" w:sz="6" w:space="0" w:color="000000"/>
              <w:bottom w:val="nil"/>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Развитие академической мобильности обучающихся ППС</w:t>
            </w:r>
          </w:p>
        </w:tc>
        <w:tc>
          <w:tcPr>
            <w:tcW w:w="1560" w:type="dxa"/>
            <w:tcBorders>
              <w:top w:val="single" w:sz="6" w:space="0" w:color="000000"/>
              <w:left w:val="single" w:sz="6" w:space="0" w:color="000000"/>
              <w:bottom w:val="nil"/>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Ежегодно</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lang w:val="kk-KZ"/>
              </w:rPr>
              <w:t>Жапарова Б</w:t>
            </w:r>
            <w:r>
              <w:rPr>
                <w:rFonts w:eastAsia="SimSun"/>
                <w:sz w:val="20"/>
                <w:szCs w:val="20"/>
              </w:rPr>
              <w:t xml:space="preserve">.М.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Внутренняя академическая мобильность по чтению элективного курса для студентов </w:t>
            </w:r>
            <w:proofErr w:type="gramStart"/>
            <w:r>
              <w:rPr>
                <w:rFonts w:eastAsia="SimSun"/>
                <w:kern w:val="2"/>
                <w:sz w:val="20"/>
                <w:szCs w:val="20"/>
              </w:rPr>
              <w:t xml:space="preserve">ЕАГИ </w:t>
            </w:r>
            <w:r>
              <w:rPr>
                <w:rFonts w:eastAsia="SimSun"/>
                <w:kern w:val="2"/>
                <w:sz w:val="20"/>
                <w:szCs w:val="20"/>
                <w:lang w:val="kk-KZ"/>
              </w:rPr>
              <w:t xml:space="preserve"> </w:t>
            </w:r>
            <w:r>
              <w:rPr>
                <w:rFonts w:eastAsia="SimSun"/>
                <w:kern w:val="2"/>
                <w:sz w:val="20"/>
                <w:szCs w:val="20"/>
              </w:rPr>
              <w:t>(</w:t>
            </w:r>
            <w:proofErr w:type="gramEnd"/>
            <w:r>
              <w:rPr>
                <w:rFonts w:eastAsia="SimSun"/>
                <w:kern w:val="2"/>
                <w:sz w:val="20"/>
                <w:szCs w:val="20"/>
              </w:rPr>
              <w:t>г. Астана).</w:t>
            </w:r>
          </w:p>
        </w:tc>
      </w:tr>
      <w:tr w:rsidR="00C4667C" w:rsidTr="00C4667C">
        <w:trPr>
          <w:trHeight w:val="1268"/>
        </w:trPr>
        <w:tc>
          <w:tcPr>
            <w:tcW w:w="445" w:type="dxa"/>
            <w:tcBorders>
              <w:top w:val="single" w:sz="6" w:space="0" w:color="000000"/>
              <w:left w:val="single" w:sz="6" w:space="0" w:color="000000"/>
              <w:bottom w:val="single" w:sz="6" w:space="0" w:color="000000"/>
              <w:right w:val="single" w:sz="6" w:space="0" w:color="auto"/>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8</w:t>
            </w:r>
          </w:p>
        </w:tc>
        <w:tc>
          <w:tcPr>
            <w:tcW w:w="1914" w:type="dxa"/>
            <w:tcBorders>
              <w:top w:val="single" w:sz="6" w:space="0" w:color="auto"/>
              <w:left w:val="single" w:sz="6" w:space="0" w:color="auto"/>
              <w:bottom w:val="single" w:sz="6" w:space="0" w:color="auto"/>
              <w:right w:val="single" w:sz="6" w:space="0" w:color="auto"/>
            </w:tcBorders>
            <w:hideMark/>
          </w:tcPr>
          <w:p w:rsidR="00C4667C" w:rsidRDefault="00C4667C">
            <w:pPr>
              <w:suppressAutoHyphens/>
              <w:autoSpaceDE w:val="0"/>
              <w:autoSpaceDN w:val="0"/>
              <w:adjustRightInd w:val="0"/>
              <w:spacing w:after="0" w:line="240" w:lineRule="auto"/>
              <w:ind w:left="0" w:firstLine="0"/>
              <w:rPr>
                <w:rFonts w:eastAsia="SimSun"/>
                <w:kern w:val="2"/>
              </w:rPr>
            </w:pPr>
            <w:r>
              <w:rPr>
                <w:rFonts w:eastAsia="SimSun"/>
                <w:kern w:val="2"/>
                <w:sz w:val="20"/>
                <w:szCs w:val="20"/>
              </w:rPr>
              <w:t>Обеспечение вклада науки для ускоренной диверсификации экономики и устойчивого развития страны</w:t>
            </w:r>
          </w:p>
        </w:tc>
        <w:tc>
          <w:tcPr>
            <w:tcW w:w="1560" w:type="dxa"/>
            <w:tcBorders>
              <w:top w:val="single" w:sz="6" w:space="0" w:color="000000"/>
              <w:left w:val="single" w:sz="6" w:space="0" w:color="auto"/>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Декабрь 2020- декабрь 2021 </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ППС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Участие в работе научного Центра педагогических исследований ППУ ППС, обслуживающего ОП. </w:t>
            </w:r>
          </w:p>
        </w:tc>
      </w:tr>
      <w:tr w:rsidR="00C4667C" w:rsidTr="00C4667C">
        <w:trPr>
          <w:trHeight w:val="386"/>
        </w:trPr>
        <w:tc>
          <w:tcPr>
            <w:tcW w:w="445" w:type="dxa"/>
            <w:vMerge w:val="restart"/>
            <w:tcBorders>
              <w:top w:val="single" w:sz="6" w:space="0" w:color="000000"/>
              <w:left w:val="single" w:sz="6" w:space="0" w:color="000000"/>
              <w:bottom w:val="single" w:sz="6" w:space="0" w:color="000000"/>
              <w:right w:val="single" w:sz="6" w:space="0" w:color="auto"/>
            </w:tcBorders>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9</w:t>
            </w:r>
          </w:p>
          <w:p w:rsidR="00C4667C" w:rsidRDefault="00C4667C">
            <w:pPr>
              <w:autoSpaceDE w:val="0"/>
              <w:autoSpaceDN w:val="0"/>
              <w:adjustRightInd w:val="0"/>
              <w:spacing w:after="0" w:line="240" w:lineRule="auto"/>
              <w:ind w:left="0" w:firstLine="0"/>
              <w:rPr>
                <w:rFonts w:eastAsia="SimSun"/>
                <w:sz w:val="20"/>
                <w:szCs w:val="20"/>
                <w:lang w:val="kk-KZ"/>
              </w:rPr>
            </w:pPr>
          </w:p>
        </w:tc>
        <w:tc>
          <w:tcPr>
            <w:tcW w:w="1914" w:type="dxa"/>
            <w:vMerge w:val="restart"/>
            <w:tcBorders>
              <w:top w:val="single" w:sz="6" w:space="0" w:color="auto"/>
              <w:left w:val="single" w:sz="6" w:space="0" w:color="auto"/>
              <w:bottom w:val="single" w:sz="6" w:space="0" w:color="auto"/>
              <w:right w:val="single" w:sz="6" w:space="0" w:color="auto"/>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sz w:val="20"/>
                <w:szCs w:val="20"/>
                <w:shd w:val="clear" w:color="auto" w:fill="FFFFFF"/>
                <w:lang w:eastAsia="en-US" w:bidi="en-US"/>
              </w:rPr>
              <w:t>Обеспечение вклада науки для ускоренной диверсификации экономики и устойчивого развития страны</w:t>
            </w:r>
          </w:p>
        </w:tc>
        <w:tc>
          <w:tcPr>
            <w:tcW w:w="1560" w:type="dxa"/>
            <w:vMerge w:val="restart"/>
            <w:tcBorders>
              <w:top w:val="single" w:sz="6" w:space="0" w:color="000000"/>
              <w:left w:val="single" w:sz="6" w:space="0" w:color="auto"/>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Ежегодно</w:t>
            </w:r>
          </w:p>
          <w:p w:rsidR="00C4667C" w:rsidRDefault="00C4667C">
            <w:pPr>
              <w:autoSpaceDE w:val="0"/>
              <w:autoSpaceDN w:val="0"/>
              <w:adjustRightInd w:val="0"/>
              <w:spacing w:after="0" w:line="240" w:lineRule="auto"/>
              <w:ind w:left="0" w:firstLine="0"/>
              <w:rPr>
                <w:rFonts w:eastAsia="SimSun"/>
                <w:sz w:val="20"/>
                <w:szCs w:val="20"/>
              </w:rPr>
            </w:pPr>
          </w:p>
        </w:tc>
        <w:tc>
          <w:tcPr>
            <w:tcW w:w="1701"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ППС </w:t>
            </w:r>
          </w:p>
          <w:p w:rsidR="00C4667C" w:rsidRDefault="00C4667C">
            <w:pPr>
              <w:autoSpaceDE w:val="0"/>
              <w:autoSpaceDN w:val="0"/>
              <w:adjustRightInd w:val="0"/>
              <w:spacing w:after="0" w:line="240" w:lineRule="auto"/>
              <w:ind w:left="0" w:firstLine="0"/>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rPr>
              <w:t>Участие в</w:t>
            </w:r>
            <w:r>
              <w:rPr>
                <w:rFonts w:eastAsia="SimSun"/>
                <w:sz w:val="20"/>
                <w:szCs w:val="20"/>
                <w:lang w:val="kk-KZ"/>
              </w:rPr>
              <w:t xml:space="preserve"> конкурсных мероприятиях, проводимых в вузе и стимулирующих исследовательскую деятельность магистрантов и молодых ученых</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auto"/>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Проведение совместных научных исследований с вузами и научными центрами Казахстана и зарубежья.</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auto"/>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Доля ППС, участвующих в выполнении фундаментальных и прикладных программах </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auto"/>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Доля публикаций в научных журналах с ненулевым импакт-фактором </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val="restart"/>
            <w:tcBorders>
              <w:top w:val="single" w:sz="6" w:space="0" w:color="000000"/>
              <w:left w:val="single" w:sz="6" w:space="0" w:color="auto"/>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Ежегодно</w:t>
            </w:r>
          </w:p>
          <w:p w:rsidR="00C4667C" w:rsidRDefault="00C4667C">
            <w:pPr>
              <w:autoSpaceDE w:val="0"/>
              <w:autoSpaceDN w:val="0"/>
              <w:adjustRightInd w:val="0"/>
              <w:spacing w:after="0" w:line="240" w:lineRule="auto"/>
              <w:ind w:left="0" w:firstLine="0"/>
              <w:rPr>
                <w:rFonts w:eastAsia="SimSu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Асенова Н.С., Жумашева А.Ш, Боталова О.Б., Кененбаева М.А., Ахмульдинова А.Н., Осипова С.В.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Число студентов призеров (награжденных первой, второй и третьей степени) республиканских и международных научных конференций, олимпиад, конкурсов </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auto"/>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auto"/>
              <w:bottom w:val="single" w:sz="6" w:space="0" w:color="auto"/>
              <w:right w:val="single" w:sz="6" w:space="0" w:color="auto"/>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auto"/>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ППС ОП</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Доля студентов очной формы обучения, вовлеченных в научную деятельность университета 45%</w:t>
            </w:r>
          </w:p>
        </w:tc>
      </w:tr>
      <w:tr w:rsidR="00C4667C" w:rsidTr="00C4667C">
        <w:trPr>
          <w:trHeight w:val="386"/>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10</w:t>
            </w:r>
          </w:p>
        </w:tc>
        <w:tc>
          <w:tcPr>
            <w:tcW w:w="1914" w:type="dxa"/>
            <w:tcBorders>
              <w:top w:val="single" w:sz="6" w:space="0" w:color="auto"/>
              <w:left w:val="single" w:sz="6" w:space="0" w:color="000000"/>
              <w:bottom w:val="nil"/>
              <w:right w:val="single" w:sz="6" w:space="0" w:color="000000"/>
            </w:tcBorders>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 xml:space="preserve">Повышение и укрепление международного </w:t>
            </w:r>
            <w:r>
              <w:rPr>
                <w:rFonts w:eastAsia="SimSun"/>
                <w:kern w:val="2"/>
                <w:sz w:val="20"/>
                <w:szCs w:val="20"/>
              </w:rPr>
              <w:lastRenderedPageBreak/>
              <w:t>престижа ППУ, установление и развитие сотрудничества с зарубежными партнерами</w:t>
            </w:r>
          </w:p>
          <w:p w:rsidR="00C4667C" w:rsidRDefault="00C4667C">
            <w:pPr>
              <w:suppressAutoHyphens/>
              <w:autoSpaceDE w:val="0"/>
              <w:autoSpaceDN w:val="0"/>
              <w:adjustRightInd w:val="0"/>
              <w:spacing w:after="0" w:line="240" w:lineRule="auto"/>
              <w:ind w:left="0" w:firstLine="0"/>
              <w:rPr>
                <w:rFonts w:eastAsia="SimSun"/>
                <w:kern w:val="2"/>
                <w:sz w:val="20"/>
                <w:szCs w:val="20"/>
              </w:rPr>
            </w:pPr>
          </w:p>
        </w:tc>
        <w:tc>
          <w:tcPr>
            <w:tcW w:w="1560"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lastRenderedPageBreak/>
              <w:t xml:space="preserve">2021 </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Боталова О.Б., Кененбаева М.А.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Количество студентов, выехавших за рубеж (международные программы, конференции, стажировки)</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tcBorders>
              <w:top w:val="nil"/>
              <w:left w:val="single" w:sz="6" w:space="0" w:color="000000"/>
              <w:bottom w:val="single" w:sz="6" w:space="0" w:color="auto"/>
              <w:right w:val="single" w:sz="6" w:space="0" w:color="000000"/>
            </w:tcBorders>
          </w:tcPr>
          <w:p w:rsidR="00C4667C" w:rsidRDefault="00C4667C">
            <w:pPr>
              <w:suppressAutoHyphens/>
              <w:autoSpaceDE w:val="0"/>
              <w:autoSpaceDN w:val="0"/>
              <w:adjustRightInd w:val="0"/>
              <w:spacing w:after="0" w:line="240" w:lineRule="auto"/>
              <w:ind w:left="0" w:firstLine="0"/>
              <w:rPr>
                <w:rFonts w:eastAsia="SimSun"/>
                <w:kern w:val="2"/>
                <w:sz w:val="20"/>
                <w:szCs w:val="20"/>
              </w:rPr>
            </w:pPr>
          </w:p>
        </w:tc>
        <w:tc>
          <w:tcPr>
            <w:tcW w:w="1560"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rPr>
              <w:t>20</w:t>
            </w:r>
            <w:r>
              <w:rPr>
                <w:rFonts w:eastAsia="SimSun"/>
                <w:sz w:val="20"/>
                <w:szCs w:val="20"/>
                <w:lang w:val="kk-KZ"/>
              </w:rPr>
              <w:t>22</w:t>
            </w: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Осипова С.В., Аспанова Г.Р.,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Количество ППС и сотрудников, выехавших за рубеж (международные программы, конференции, стажировки)</w:t>
            </w:r>
          </w:p>
        </w:tc>
      </w:tr>
      <w:tr w:rsidR="00C4667C" w:rsidTr="00C4667C">
        <w:trPr>
          <w:trHeight w:val="386"/>
        </w:trPr>
        <w:tc>
          <w:tcPr>
            <w:tcW w:w="445"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lang w:val="kk-KZ"/>
              </w:rPr>
            </w:pPr>
          </w:p>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11</w:t>
            </w:r>
          </w:p>
        </w:tc>
        <w:tc>
          <w:tcPr>
            <w:tcW w:w="1914" w:type="dxa"/>
            <w:vMerge w:val="restart"/>
            <w:tcBorders>
              <w:top w:val="single" w:sz="6" w:space="0" w:color="auto"/>
              <w:left w:val="single" w:sz="6" w:space="0" w:color="000000"/>
              <w:bottom w:val="single" w:sz="6" w:space="0" w:color="auto"/>
              <w:right w:val="single" w:sz="6" w:space="0" w:color="000000"/>
            </w:tcBorders>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Повышение гражданской активности молодежи и воспитание нового казахстанского патриотизма в контексте национальной идеи Мәңгілік ел</w:t>
            </w:r>
          </w:p>
          <w:p w:rsidR="00C4667C" w:rsidRDefault="00C4667C">
            <w:pPr>
              <w:suppressAutoHyphens/>
              <w:autoSpaceDE w:val="0"/>
              <w:autoSpaceDN w:val="0"/>
              <w:adjustRightInd w:val="0"/>
              <w:spacing w:after="0" w:line="240" w:lineRule="auto"/>
              <w:ind w:left="0" w:firstLine="0"/>
              <w:rPr>
                <w:rFonts w:eastAsia="SimSun"/>
                <w:kern w:val="2"/>
                <w:sz w:val="20"/>
                <w:szCs w:val="20"/>
              </w:rPr>
            </w:pPr>
          </w:p>
          <w:p w:rsidR="00C4667C" w:rsidRDefault="00C4667C">
            <w:pPr>
              <w:suppressAutoHyphens/>
              <w:autoSpaceDE w:val="0"/>
              <w:autoSpaceDN w:val="0"/>
              <w:adjustRightInd w:val="0"/>
              <w:spacing w:after="0" w:line="240" w:lineRule="auto"/>
              <w:ind w:left="0" w:firstLine="0"/>
              <w:rPr>
                <w:rFonts w:eastAsia="SimSun"/>
                <w:kern w:val="2"/>
                <w:sz w:val="20"/>
                <w:szCs w:val="20"/>
              </w:rPr>
            </w:pPr>
          </w:p>
          <w:p w:rsidR="00C4667C" w:rsidRDefault="00C4667C">
            <w:pPr>
              <w:suppressAutoHyphens/>
              <w:autoSpaceDE w:val="0"/>
              <w:autoSpaceDN w:val="0"/>
              <w:adjustRightInd w:val="0"/>
              <w:spacing w:after="0" w:line="240" w:lineRule="auto"/>
              <w:ind w:left="0" w:firstLine="0"/>
              <w:rPr>
                <w:rFonts w:eastAsia="SimSun"/>
                <w:color w:val="FF0000"/>
                <w:kern w:val="2"/>
                <w:sz w:val="20"/>
                <w:szCs w:val="20"/>
              </w:rPr>
            </w:pPr>
          </w:p>
        </w:tc>
        <w:tc>
          <w:tcPr>
            <w:tcW w:w="1560"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Постоянно</w:t>
            </w:r>
          </w:p>
          <w:p w:rsidR="00C4667C" w:rsidRDefault="00C4667C">
            <w:pPr>
              <w:autoSpaceDE w:val="0"/>
              <w:autoSpaceDN w:val="0"/>
              <w:adjustRightInd w:val="0"/>
              <w:spacing w:after="0" w:line="240" w:lineRule="auto"/>
              <w:ind w:left="0" w:firstLine="0"/>
              <w:rPr>
                <w:rFonts w:eastAsia="SimSu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Аспанова Г.Р., Сергазина Ж.Ж.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Проведение мероприятий, направленных на пропаганду идеи «Мәңгілік ел» и исполнение задач Посланий Президента Республики Казахстан Н. А. Назарбаева (семинары-тренинги, круглые столы, акции,встречи и др.)</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color w:val="FF0000"/>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Cs w:val="28"/>
              </w:rPr>
            </w:pPr>
            <w:r>
              <w:rPr>
                <w:rFonts w:eastAsia="SimSun"/>
                <w:sz w:val="20"/>
                <w:szCs w:val="20"/>
              </w:rPr>
              <w:t>Аспанова Г.Р., Сергазина Ж.Ж.</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suppressLineNumbers/>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Доля магистрантов, вовлеченных в общественно-полезную деятельность 45%</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color w:val="FF0000"/>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Cs w:val="28"/>
              </w:rPr>
            </w:pPr>
            <w:r>
              <w:rPr>
                <w:rFonts w:eastAsia="SimSun"/>
                <w:sz w:val="20"/>
                <w:szCs w:val="20"/>
              </w:rPr>
              <w:t>Аспанова Г.Р., Сергазина Ж.Ж.</w:t>
            </w:r>
          </w:p>
          <w:p w:rsidR="00C4667C" w:rsidRDefault="00C4667C">
            <w:pPr>
              <w:autoSpaceDE w:val="0"/>
              <w:autoSpaceDN w:val="0"/>
              <w:adjustRightInd w:val="0"/>
              <w:spacing w:after="0" w:line="240" w:lineRule="auto"/>
              <w:ind w:left="0" w:firstLine="0"/>
              <w:rPr>
                <w:rFonts w:eastAsia="SimSun"/>
                <w:szCs w:val="28"/>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Доля магистрантов (19%), участвующих в реализации социально-значимых проектов региона и республики, в рамках государственного социального заказа (программа «Жасыл ел», лига КВН, дебатное движение, молодежные форумы, школы молодежного лидерства и т.д.)</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color w:val="FF0000"/>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Cs w:val="28"/>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Доля магистрантов (34%), участвующих в деятельности молодежных организаций («Жас Отан», Альянс студентов Казахстана, Студенческое правительство и т.д.)</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color w:val="FF0000"/>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Cs w:val="28"/>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Проведение разъяснительной работы по вопросу противодействия коррупции в вузе с привлечением уполномоченных государственных органов и молодежных организаций вуза</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color w:val="FF0000"/>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Cs w:val="28"/>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Проведение комплекса информационно-разъяснительных мероприятий по профилактике правонарушений и распространения идей деструктивных религиозных сект среди молодежи с привлечением правоохранительных органов и духовенства </w:t>
            </w:r>
            <w:r>
              <w:rPr>
                <w:rFonts w:eastAsia="SimSun"/>
                <w:sz w:val="20"/>
                <w:szCs w:val="20"/>
                <w:lang w:val="kk-KZ"/>
              </w:rPr>
              <w:t>(семинары-тренинги, круглые столы, акции, встречи и др.)</w:t>
            </w:r>
          </w:p>
        </w:tc>
      </w:tr>
      <w:tr w:rsidR="00C4667C" w:rsidTr="00C4667C">
        <w:trPr>
          <w:trHeight w:val="1555"/>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12</w:t>
            </w:r>
          </w:p>
        </w:tc>
        <w:tc>
          <w:tcPr>
            <w:tcW w:w="1914" w:type="dxa"/>
            <w:vMerge w:val="restart"/>
            <w:tcBorders>
              <w:top w:val="single" w:sz="6" w:space="0" w:color="auto"/>
              <w:left w:val="single" w:sz="6" w:space="0" w:color="000000"/>
              <w:bottom w:val="single" w:sz="6" w:space="0" w:color="auto"/>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Охват молодежи культурнодосуговыми и превентивными мероприятиями по снижению социальных рисков</w:t>
            </w:r>
          </w:p>
        </w:tc>
        <w:tc>
          <w:tcPr>
            <w:tcW w:w="1560"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Постоянно</w:t>
            </w:r>
          </w:p>
          <w:p w:rsidR="00C4667C" w:rsidRDefault="00C4667C">
            <w:pPr>
              <w:autoSpaceDE w:val="0"/>
              <w:autoSpaceDN w:val="0"/>
              <w:adjustRightInd w:val="0"/>
              <w:spacing w:after="0" w:line="240" w:lineRule="auto"/>
              <w:ind w:left="0" w:firstLine="0"/>
              <w:rPr>
                <w:rFonts w:eastAsia="SimSu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Cs w:val="28"/>
              </w:rPr>
            </w:pPr>
            <w:r>
              <w:rPr>
                <w:rFonts w:eastAsia="SimSun"/>
                <w:sz w:val="20"/>
                <w:szCs w:val="20"/>
              </w:rPr>
              <w:t xml:space="preserve">Сакенов Д.Ж., Боталова О.Б.,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Доля магистрантов, охваченных работой кружков -</w:t>
            </w:r>
            <w:r>
              <w:rPr>
                <w:rFonts w:eastAsia="SimSun"/>
                <w:sz w:val="20"/>
                <w:szCs w:val="20"/>
                <w:lang w:val="kk-KZ"/>
              </w:rPr>
              <w:t xml:space="preserve"> 45</w:t>
            </w:r>
            <w:r>
              <w:rPr>
                <w:rFonts w:eastAsia="SimSun"/>
                <w:sz w:val="20"/>
                <w:szCs w:val="20"/>
              </w:rPr>
              <w:t>%</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ППС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Доля студентов, охваченных работой спортивных секций – 30%</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Кураторы </w:t>
            </w: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Доля студентов, участвующих в областных, республиканских и международных творческих конкурсах, смотрах, интеллектуальных играх, спортивных соревнованиях и турнирах -18%</w:t>
            </w:r>
          </w:p>
        </w:tc>
      </w:tr>
      <w:tr w:rsidR="00C4667C" w:rsidTr="00C4667C">
        <w:trPr>
          <w:trHeight w:val="478"/>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13</w:t>
            </w:r>
          </w:p>
        </w:tc>
        <w:tc>
          <w:tcPr>
            <w:tcW w:w="1914" w:type="dxa"/>
            <w:vMerge w:val="restart"/>
            <w:tcBorders>
              <w:top w:val="single" w:sz="6" w:space="0" w:color="auto"/>
              <w:left w:val="single" w:sz="6" w:space="0" w:color="000000"/>
              <w:bottom w:val="single" w:sz="6" w:space="0" w:color="auto"/>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Усиление кадрового потенциала и повышение эффективности труда</w:t>
            </w:r>
          </w:p>
        </w:tc>
        <w:tc>
          <w:tcPr>
            <w:tcW w:w="1560"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Постоянно</w:t>
            </w:r>
          </w:p>
          <w:p w:rsidR="00C4667C" w:rsidRDefault="00C4667C">
            <w:pPr>
              <w:autoSpaceDE w:val="0"/>
              <w:autoSpaceDN w:val="0"/>
              <w:adjustRightInd w:val="0"/>
              <w:spacing w:after="0" w:line="240" w:lineRule="auto"/>
              <w:ind w:left="0" w:firstLine="0"/>
              <w:rPr>
                <w:rFonts w:eastAsia="SimSun"/>
                <w:sz w:val="20"/>
                <w:szCs w:val="20"/>
              </w:rPr>
            </w:pPr>
          </w:p>
        </w:tc>
        <w:tc>
          <w:tcPr>
            <w:tcW w:w="1701" w:type="dxa"/>
            <w:vMerge w:val="restart"/>
            <w:tcBorders>
              <w:top w:val="single" w:sz="6" w:space="0" w:color="000000"/>
              <w:left w:val="single" w:sz="6" w:space="0" w:color="000000"/>
              <w:bottom w:val="single" w:sz="6" w:space="0" w:color="000000"/>
              <w:right w:val="single" w:sz="6" w:space="0" w:color="000000"/>
            </w:tcBorders>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Жапарова Б.М.</w:t>
            </w:r>
          </w:p>
          <w:p w:rsidR="00C4667C" w:rsidRDefault="00C4667C">
            <w:pPr>
              <w:autoSpaceDE w:val="0"/>
              <w:autoSpaceDN w:val="0"/>
              <w:adjustRightInd w:val="0"/>
              <w:spacing w:after="0" w:line="240" w:lineRule="auto"/>
              <w:ind w:left="0" w:firstLine="0"/>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Укомплектованность ППС по штатному расписанию 100%</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Укомплектованность штатными ППС </w:t>
            </w:r>
            <w:r>
              <w:rPr>
                <w:rFonts w:eastAsia="SimSun"/>
                <w:sz w:val="20"/>
                <w:szCs w:val="20"/>
                <w:lang w:val="kk-KZ"/>
              </w:rPr>
              <w:t>ОП</w:t>
            </w:r>
            <w:r>
              <w:rPr>
                <w:rFonts w:eastAsia="SimSun"/>
                <w:sz w:val="20"/>
                <w:szCs w:val="20"/>
              </w:rPr>
              <w:t xml:space="preserve"> от общего числа работающих, в том числе и по каждому направлению подготовки 100%</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90%</w:t>
            </w:r>
            <w:r>
              <w:rPr>
                <w:rFonts w:eastAsia="SimSun"/>
                <w:sz w:val="20"/>
                <w:szCs w:val="20"/>
                <w:lang w:val="kk-KZ"/>
              </w:rPr>
              <w:t xml:space="preserve"> </w:t>
            </w:r>
            <w:r>
              <w:rPr>
                <w:rFonts w:eastAsia="SimSun"/>
                <w:sz w:val="20"/>
                <w:szCs w:val="20"/>
              </w:rPr>
              <w:t xml:space="preserve">укомплектованность ППС </w:t>
            </w:r>
            <w:r>
              <w:rPr>
                <w:rFonts w:eastAsia="SimSun"/>
                <w:sz w:val="20"/>
                <w:szCs w:val="20"/>
                <w:lang w:val="kk-KZ"/>
              </w:rPr>
              <w:t>ОП</w:t>
            </w:r>
            <w:r>
              <w:rPr>
                <w:rFonts w:eastAsia="SimSun"/>
                <w:sz w:val="20"/>
                <w:szCs w:val="20"/>
              </w:rPr>
              <w:t>, имеющих базовое образование</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Укомплектованность ППС </w:t>
            </w:r>
            <w:r>
              <w:rPr>
                <w:rFonts w:eastAsia="SimSun"/>
                <w:sz w:val="20"/>
                <w:szCs w:val="20"/>
                <w:lang w:val="kk-KZ"/>
              </w:rPr>
              <w:t>ОП</w:t>
            </w:r>
            <w:r>
              <w:rPr>
                <w:rFonts w:eastAsia="SimSun"/>
                <w:sz w:val="20"/>
                <w:szCs w:val="20"/>
              </w:rPr>
              <w:t xml:space="preserve"> с учеными степенями и званиями от штатных ППС 70%</w:t>
            </w:r>
          </w:p>
        </w:tc>
      </w:tr>
      <w:tr w:rsidR="00C4667C" w:rsidTr="00C4667C">
        <w:trPr>
          <w:trHeight w:val="386"/>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lang w:val="kk-KZ"/>
              </w:rPr>
            </w:pPr>
          </w:p>
        </w:tc>
        <w:tc>
          <w:tcPr>
            <w:tcW w:w="1914" w:type="dxa"/>
            <w:vMerge/>
            <w:tcBorders>
              <w:top w:val="single" w:sz="6" w:space="0" w:color="auto"/>
              <w:left w:val="single" w:sz="6" w:space="0" w:color="000000"/>
              <w:bottom w:val="single" w:sz="6" w:space="0" w:color="auto"/>
              <w:right w:val="single" w:sz="6" w:space="0" w:color="000000"/>
            </w:tcBorders>
            <w:vAlign w:val="center"/>
            <w:hideMark/>
          </w:tcPr>
          <w:p w:rsidR="00C4667C" w:rsidRDefault="00C4667C">
            <w:pPr>
              <w:spacing w:after="0" w:line="240" w:lineRule="auto"/>
              <w:ind w:left="0" w:firstLine="0"/>
              <w:jc w:val="left"/>
              <w:rPr>
                <w:rFonts w:eastAsia="SimSun"/>
                <w:kern w:val="2"/>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C4667C" w:rsidRDefault="00C4667C">
            <w:pPr>
              <w:spacing w:after="0" w:line="240" w:lineRule="auto"/>
              <w:ind w:left="0" w:firstLine="0"/>
              <w:jc w:val="left"/>
              <w:rPr>
                <w:rFonts w:eastAsia="SimSun"/>
                <w:sz w:val="20"/>
                <w:szCs w:val="20"/>
              </w:rPr>
            </w:pPr>
          </w:p>
        </w:tc>
        <w:tc>
          <w:tcPr>
            <w:tcW w:w="4111"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Неснижаемый процент остепененности </w:t>
            </w:r>
            <w:proofErr w:type="gramStart"/>
            <w:r>
              <w:rPr>
                <w:rFonts w:eastAsia="SimSun"/>
                <w:sz w:val="20"/>
                <w:szCs w:val="20"/>
              </w:rPr>
              <w:t>ППС  70</w:t>
            </w:r>
            <w:proofErr w:type="gramEnd"/>
            <w:r>
              <w:rPr>
                <w:rFonts w:eastAsia="SimSun"/>
                <w:sz w:val="20"/>
                <w:szCs w:val="20"/>
              </w:rPr>
              <w:t xml:space="preserve"> %</w:t>
            </w:r>
          </w:p>
        </w:tc>
      </w:tr>
      <w:tr w:rsidR="00C4667C" w:rsidTr="00C4667C">
        <w:trPr>
          <w:trHeight w:val="386"/>
        </w:trPr>
        <w:tc>
          <w:tcPr>
            <w:tcW w:w="445"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lang w:val="kk-KZ"/>
              </w:rPr>
            </w:pPr>
            <w:r>
              <w:rPr>
                <w:rFonts w:eastAsia="SimSun"/>
                <w:sz w:val="20"/>
                <w:szCs w:val="20"/>
                <w:lang w:val="kk-KZ"/>
              </w:rPr>
              <w:t>14</w:t>
            </w:r>
          </w:p>
        </w:tc>
        <w:tc>
          <w:tcPr>
            <w:tcW w:w="1914" w:type="dxa"/>
            <w:tcBorders>
              <w:top w:val="single" w:sz="6" w:space="0" w:color="auto"/>
              <w:left w:val="single" w:sz="6" w:space="0" w:color="000000"/>
              <w:bottom w:val="single" w:sz="6" w:space="0" w:color="auto"/>
              <w:right w:val="single" w:sz="6" w:space="0" w:color="000000"/>
            </w:tcBorders>
            <w:hideMark/>
          </w:tcPr>
          <w:p w:rsidR="00C4667C" w:rsidRDefault="00C4667C">
            <w:pPr>
              <w:suppressAutoHyphens/>
              <w:autoSpaceDE w:val="0"/>
              <w:autoSpaceDN w:val="0"/>
              <w:adjustRightInd w:val="0"/>
              <w:spacing w:after="0" w:line="240" w:lineRule="auto"/>
              <w:ind w:left="0" w:firstLine="0"/>
              <w:rPr>
                <w:rFonts w:eastAsia="SimSun"/>
                <w:kern w:val="2"/>
                <w:sz w:val="20"/>
                <w:szCs w:val="20"/>
              </w:rPr>
            </w:pPr>
            <w:r>
              <w:rPr>
                <w:rFonts w:eastAsia="SimSun"/>
                <w:kern w:val="2"/>
                <w:sz w:val="20"/>
                <w:szCs w:val="20"/>
              </w:rPr>
              <w:t>Повышение научного потенциала и уровня методологической и фундаментальной подготовки профессорско-преподавательского состава вуза на основе повышения   квалификации, стажировок в научных центрах республики и зарубежья</w:t>
            </w:r>
          </w:p>
        </w:tc>
        <w:tc>
          <w:tcPr>
            <w:tcW w:w="1560" w:type="dxa"/>
            <w:tcBorders>
              <w:top w:val="single" w:sz="6" w:space="0" w:color="000000"/>
              <w:left w:val="single" w:sz="6" w:space="0" w:color="000000"/>
              <w:bottom w:val="single" w:sz="6" w:space="0" w:color="000000"/>
              <w:right w:val="single" w:sz="6" w:space="0" w:color="000000"/>
            </w:tcBorders>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Постоянно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 xml:space="preserve">Асенова Н.С., Жапарова Б.М., Кененбаева М.А. </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C4667C" w:rsidRDefault="00C4667C">
            <w:pPr>
              <w:autoSpaceDE w:val="0"/>
              <w:autoSpaceDN w:val="0"/>
              <w:adjustRightInd w:val="0"/>
              <w:spacing w:after="0" w:line="240" w:lineRule="auto"/>
              <w:ind w:left="0" w:firstLine="0"/>
              <w:rPr>
                <w:rFonts w:eastAsia="SimSun"/>
                <w:sz w:val="20"/>
                <w:szCs w:val="20"/>
              </w:rPr>
            </w:pPr>
            <w:r>
              <w:rPr>
                <w:rFonts w:eastAsia="SimSun"/>
                <w:sz w:val="20"/>
                <w:szCs w:val="20"/>
              </w:rPr>
              <w:t>Количество ППС, прошедших повышение квалификации внутри страны за счет госбюджета (не менее 2 ППС ежегодно)</w:t>
            </w:r>
          </w:p>
        </w:tc>
      </w:tr>
    </w:tbl>
    <w:p w:rsidR="00C4667C" w:rsidRDefault="00C4667C" w:rsidP="00C4667C">
      <w:pPr>
        <w:autoSpaceDE w:val="0"/>
        <w:autoSpaceDN w:val="0"/>
        <w:adjustRightInd w:val="0"/>
        <w:rPr>
          <w:rFonts w:eastAsia="SimSun"/>
          <w:szCs w:val="28"/>
        </w:rPr>
      </w:pPr>
    </w:p>
    <w:p w:rsidR="00C4667C" w:rsidRDefault="00C4667C" w:rsidP="00C4667C">
      <w:pPr>
        <w:ind w:left="0" w:firstLine="0"/>
        <w:jc w:val="center"/>
        <w:rPr>
          <w:color w:val="FF0000"/>
          <w:szCs w:val="28"/>
        </w:rPr>
      </w:pPr>
    </w:p>
    <w:p w:rsidR="00C4667C" w:rsidRDefault="00C4667C" w:rsidP="00C4667C">
      <w:pPr>
        <w:rPr>
          <w:color w:val="FF0000"/>
          <w:szCs w:val="28"/>
        </w:rPr>
      </w:pPr>
    </w:p>
    <w:p w:rsidR="00C4667C" w:rsidRDefault="00C4667C" w:rsidP="00C4667C">
      <w:pPr>
        <w:ind w:left="0" w:firstLine="0"/>
        <w:jc w:val="left"/>
        <w:rPr>
          <w:color w:val="FF0000"/>
          <w:szCs w:val="28"/>
        </w:rPr>
      </w:pPr>
    </w:p>
    <w:p w:rsidR="006B2225" w:rsidRDefault="006B2225"/>
    <w:sectPr w:rsidR="006B2225" w:rsidSect="0094638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78"/>
    <w:rsid w:val="00017E4E"/>
    <w:rsid w:val="00236C0A"/>
    <w:rsid w:val="00324E75"/>
    <w:rsid w:val="005D6559"/>
    <w:rsid w:val="006B2225"/>
    <w:rsid w:val="00912448"/>
    <w:rsid w:val="00946384"/>
    <w:rsid w:val="00C4667C"/>
    <w:rsid w:val="00EE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04234-3F44-4990-8C76-7EAC826F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7C"/>
    <w:pPr>
      <w:spacing w:after="45" w:line="235" w:lineRule="auto"/>
      <w:ind w:left="977"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
    <w:link w:val="a4"/>
    <w:uiPriority w:val="99"/>
    <w:semiHidden/>
    <w:locked/>
    <w:rsid w:val="00C4667C"/>
    <w:rPr>
      <w:rFonts w:ascii="Times New Roman" w:eastAsia="Times New Roman" w:hAnsi="Times New Roman" w:cs="Times New Roman"/>
      <w:sz w:val="24"/>
      <w:szCs w:val="24"/>
    </w:rPr>
  </w:style>
  <w:style w:type="paragraph" w:styleId="a4">
    <w:name w:val="Normal (Web)"/>
    <w:aliases w:val="Обычный (Web),Знак,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3"/>
    <w:uiPriority w:val="99"/>
    <w:semiHidden/>
    <w:unhideWhenUsed/>
    <w:rsid w:val="00C4667C"/>
    <w:pPr>
      <w:spacing w:after="120" w:line="240" w:lineRule="auto"/>
      <w:ind w:left="283" w:firstLine="0"/>
    </w:pPr>
    <w:rPr>
      <w:color w:val="auto"/>
      <w:sz w:val="24"/>
      <w:szCs w:val="24"/>
      <w:lang w:eastAsia="en-US"/>
    </w:rPr>
  </w:style>
  <w:style w:type="paragraph" w:styleId="a5">
    <w:name w:val="List Paragraph"/>
    <w:basedOn w:val="a"/>
    <w:uiPriority w:val="34"/>
    <w:qFormat/>
    <w:rsid w:val="00236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3623</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dc:creator>
  <cp:keywords/>
  <dc:description/>
  <cp:lastModifiedBy>user</cp:lastModifiedBy>
  <cp:revision>9</cp:revision>
  <dcterms:created xsi:type="dcterms:W3CDTF">2021-04-20T08:16:00Z</dcterms:created>
  <dcterms:modified xsi:type="dcterms:W3CDTF">2021-04-26T06:15:00Z</dcterms:modified>
</cp:coreProperties>
</file>